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8BACAE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34172F">
        <w:rPr>
          <w:bCs/>
          <w:noProof w:val="0"/>
          <w:sz w:val="24"/>
          <w:szCs w:val="24"/>
        </w:rPr>
        <w:t>2</w:t>
      </w:r>
      <w:r w:rsidR="00855431">
        <w:rPr>
          <w:bCs/>
          <w:noProof w:val="0"/>
          <w:sz w:val="24"/>
          <w:szCs w:val="24"/>
        </w:rPr>
        <w:t xml:space="preserve"> Electronic</w:t>
      </w:r>
      <w:r w:rsidR="00855431" w:rsidDel="00855431">
        <w:rPr>
          <w:bCs/>
          <w:noProof w:val="0"/>
          <w:sz w:val="24"/>
          <w:szCs w:val="24"/>
        </w:rPr>
        <w:t xml:space="preserve"> </w:t>
      </w:r>
      <w:r w:rsidRPr="00B266B0">
        <w:rPr>
          <w:bCs/>
          <w:noProof w:val="0"/>
          <w:sz w:val="24"/>
          <w:szCs w:val="24"/>
        </w:rPr>
        <w:tab/>
      </w:r>
      <w:r w:rsidRPr="008F15E1">
        <w:rPr>
          <w:bCs/>
          <w:noProof w:val="0"/>
          <w:sz w:val="24"/>
          <w:szCs w:val="24"/>
        </w:rPr>
        <w:t>R2-</w:t>
      </w:r>
      <w:r w:rsidR="009376CD" w:rsidRPr="008F15E1">
        <w:rPr>
          <w:bCs/>
          <w:noProof w:val="0"/>
          <w:sz w:val="24"/>
          <w:szCs w:val="24"/>
        </w:rPr>
        <w:t>20</w:t>
      </w:r>
      <w:r w:rsidR="00BE761C" w:rsidRPr="008F15E1">
        <w:rPr>
          <w:bCs/>
          <w:noProof w:val="0"/>
          <w:sz w:val="24"/>
          <w:szCs w:val="24"/>
        </w:rPr>
        <w:t>0</w:t>
      </w:r>
      <w:r w:rsidR="008F15E1">
        <w:rPr>
          <w:bCs/>
          <w:noProof w:val="0"/>
          <w:sz w:val="24"/>
          <w:szCs w:val="24"/>
        </w:rPr>
        <w:t>9772</w:t>
      </w:r>
    </w:p>
    <w:p w14:paraId="11776FA6" w14:textId="120F9955"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0F034D">
        <w:rPr>
          <w:rFonts w:eastAsia="SimSun"/>
          <w:bCs/>
          <w:sz w:val="24"/>
          <w:szCs w:val="24"/>
          <w:lang w:eastAsia="zh-CN"/>
        </w:rPr>
        <w:t>02</w:t>
      </w:r>
      <w:r w:rsidR="000F034D" w:rsidRPr="006574C0">
        <w:rPr>
          <w:rFonts w:eastAsia="SimSun"/>
          <w:bCs/>
          <w:sz w:val="24"/>
          <w:szCs w:val="24"/>
          <w:lang w:eastAsia="zh-CN"/>
        </w:rPr>
        <w:t xml:space="preserve"> – </w:t>
      </w:r>
      <w:r w:rsidR="000F034D">
        <w:rPr>
          <w:rFonts w:eastAsia="SimSun"/>
          <w:bCs/>
          <w:sz w:val="24"/>
          <w:szCs w:val="24"/>
          <w:lang w:eastAsia="zh-CN"/>
        </w:rPr>
        <w:t>13</w:t>
      </w:r>
      <w:r w:rsidR="000F034D" w:rsidRPr="006574C0">
        <w:rPr>
          <w:rFonts w:eastAsia="SimSun"/>
          <w:bCs/>
          <w:sz w:val="24"/>
          <w:szCs w:val="24"/>
          <w:lang w:eastAsia="zh-CN"/>
        </w:rPr>
        <w:t xml:space="preserve"> </w:t>
      </w:r>
      <w:r w:rsidR="000F034D">
        <w:rPr>
          <w:rFonts w:eastAsia="SimSun"/>
          <w:bCs/>
          <w:sz w:val="24"/>
          <w:szCs w:val="24"/>
          <w:lang w:eastAsia="zh-CN"/>
        </w:rPr>
        <w:t>November</w:t>
      </w:r>
      <w:r w:rsidR="000F034D" w:rsidRPr="006574C0">
        <w:rPr>
          <w:rFonts w:eastAsia="SimSun"/>
          <w:bCs/>
          <w:sz w:val="24"/>
          <w:szCs w:val="24"/>
          <w:lang w:eastAsia="zh-CN"/>
        </w:rPr>
        <w:t xml:space="preserve"> 20</w:t>
      </w:r>
      <w:r w:rsidR="000F034D">
        <w:rPr>
          <w:rFonts w:eastAsia="SimSun"/>
          <w:bCs/>
          <w:sz w:val="24"/>
          <w:szCs w:val="24"/>
          <w:lang w:eastAsia="zh-CN"/>
        </w:rPr>
        <w:t>20</w:t>
      </w:r>
      <w:r w:rsidR="0079021D">
        <w:rPr>
          <w:rFonts w:eastAsia="SimSun"/>
          <w:bCs/>
          <w:sz w:val="24"/>
          <w:szCs w:val="24"/>
          <w:lang w:eastAsia="zh-CN"/>
        </w:rPr>
        <w:t xml:space="preserve">                                                     </w:t>
      </w:r>
      <w:r w:rsidR="008F15E1">
        <w:rPr>
          <w:rFonts w:eastAsia="SimSun"/>
          <w:bCs/>
          <w:sz w:val="24"/>
          <w:szCs w:val="24"/>
          <w:lang w:eastAsia="zh-CN"/>
        </w:rPr>
        <w:tab/>
      </w:r>
      <w:r w:rsidR="0079021D" w:rsidRPr="008F15E1">
        <w:rPr>
          <w:rFonts w:eastAsia="SimSun"/>
          <w:b w:val="0"/>
          <w:i/>
          <w:iCs/>
          <w:sz w:val="16"/>
          <w:szCs w:val="16"/>
          <w:lang w:eastAsia="zh-CN"/>
        </w:rPr>
        <w:t xml:space="preserve">Update of </w:t>
      </w:r>
      <w:r w:rsidR="0079021D" w:rsidRPr="008F15E1">
        <w:rPr>
          <w:rFonts w:hint="eastAsia"/>
          <w:b w:val="0"/>
          <w:i/>
          <w:iCs/>
          <w:noProof w:val="0"/>
          <w:sz w:val="16"/>
          <w:szCs w:val="16"/>
        </w:rPr>
        <w:t>R</w:t>
      </w:r>
      <w:r w:rsidR="0079021D" w:rsidRPr="008F15E1">
        <w:rPr>
          <w:b w:val="0"/>
          <w:i/>
          <w:iCs/>
          <w:noProof w:val="0"/>
          <w:sz w:val="16"/>
          <w:szCs w:val="16"/>
        </w:rPr>
        <w:t>2</w:t>
      </w:r>
      <w:r w:rsidR="0079021D" w:rsidRPr="008F15E1">
        <w:rPr>
          <w:rFonts w:hint="eastAsia"/>
          <w:b w:val="0"/>
          <w:i/>
          <w:iCs/>
          <w:noProof w:val="0"/>
          <w:sz w:val="16"/>
          <w:szCs w:val="16"/>
        </w:rPr>
        <w:t>-</w:t>
      </w:r>
      <w:r w:rsidR="0079021D" w:rsidRPr="008F15E1">
        <w:rPr>
          <w:b w:val="0"/>
          <w:i/>
          <w:iCs/>
          <w:noProof w:val="0"/>
          <w:sz w:val="16"/>
          <w:szCs w:val="16"/>
        </w:rPr>
        <w:t>2007363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EF62F1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340E" w:rsidRPr="008F15E1">
        <w:rPr>
          <w:rFonts w:cs="Arial"/>
          <w:b/>
          <w:bCs/>
          <w:sz w:val="24"/>
          <w:lang w:eastAsia="ja-JP"/>
        </w:rPr>
        <w:t>8</w:t>
      </w:r>
      <w:r w:rsidR="00B1271F" w:rsidRPr="008F15E1">
        <w:rPr>
          <w:rFonts w:cs="Arial"/>
          <w:b/>
          <w:bCs/>
          <w:sz w:val="24"/>
          <w:lang w:eastAsia="ja-JP"/>
        </w:rPr>
        <w:t>.</w:t>
      </w:r>
      <w:r w:rsidR="00FB340E" w:rsidRPr="008F15E1">
        <w:rPr>
          <w:rFonts w:cs="Arial"/>
          <w:b/>
          <w:bCs/>
          <w:sz w:val="24"/>
          <w:lang w:eastAsia="ja-JP"/>
        </w:rPr>
        <w:t>10</w:t>
      </w:r>
      <w:r w:rsidR="00B1271F" w:rsidRPr="008F15E1">
        <w:rPr>
          <w:rFonts w:cs="Arial"/>
          <w:b/>
          <w:bCs/>
          <w:sz w:val="24"/>
          <w:lang w:eastAsia="ja-JP"/>
        </w:rPr>
        <w:t>.</w:t>
      </w:r>
      <w:r w:rsidR="00FB340E" w:rsidRPr="008F15E1">
        <w:rPr>
          <w:rFonts w:cs="Arial"/>
          <w:b/>
          <w:bCs/>
          <w:sz w:val="24"/>
          <w:lang w:eastAsia="ja-JP"/>
        </w:rPr>
        <w:t>3.3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2F701E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021D" w:rsidRPr="008F15E1">
        <w:rPr>
          <w:rFonts w:ascii="Arial" w:hAnsi="Arial" w:cs="Arial"/>
          <w:b/>
          <w:bCs/>
          <w:sz w:val="24"/>
        </w:rPr>
        <w:t>S</w:t>
      </w:r>
      <w:r w:rsidR="000F27DA" w:rsidRPr="008F15E1">
        <w:rPr>
          <w:rFonts w:ascii="Arial" w:hAnsi="Arial" w:cs="Arial"/>
          <w:b/>
          <w:bCs/>
          <w:sz w:val="24"/>
        </w:rPr>
        <w:t>imulation assumptions for evaluating NTN mobility</w:t>
      </w:r>
    </w:p>
    <w:p w14:paraId="1F147C23" w14:textId="204749A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1731C" w:rsidRPr="0071731C">
        <w:rPr>
          <w:rFonts w:ascii="Arial" w:hAnsi="Arial" w:cs="Arial"/>
          <w:b/>
          <w:bCs/>
          <w:sz w:val="24"/>
        </w:rPr>
        <w:t xml:space="preserve">NR_NTN_solutions-Core </w:t>
      </w:r>
      <w:r>
        <w:rPr>
          <w:rFonts w:ascii="Arial" w:hAnsi="Arial" w:cs="Arial"/>
          <w:b/>
          <w:bCs/>
          <w:sz w:val="24"/>
        </w:rPr>
        <w:t xml:space="preserve">- Release </w:t>
      </w:r>
      <w:r w:rsidR="0071731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2971F09" w:rsidR="00A209D6" w:rsidRPr="006E13D1" w:rsidRDefault="001C4049" w:rsidP="00A209D6">
      <w:pPr>
        <w:pStyle w:val="Heading1"/>
      </w:pPr>
      <w:r>
        <w:rPr>
          <w:noProof/>
        </w:rPr>
        <mc:AlternateContent>
          <mc:Choice Requires="wps">
            <w:drawing>
              <wp:anchor distT="45720" distB="45720" distL="114300" distR="114300" simplePos="0" relativeHeight="251658240" behindDoc="0" locked="0" layoutInCell="1" allowOverlap="1" wp14:anchorId="0537F67B" wp14:editId="2AB9CF47">
                <wp:simplePos x="0" y="0"/>
                <wp:positionH relativeFrom="margin">
                  <wp:posOffset>41275</wp:posOffset>
                </wp:positionH>
                <wp:positionV relativeFrom="paragraph">
                  <wp:posOffset>664210</wp:posOffset>
                </wp:positionV>
                <wp:extent cx="6026150" cy="1404620"/>
                <wp:effectExtent l="0" t="0" r="1270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150" cy="1404620"/>
                        </a:xfrm>
                        <a:prstGeom prst="rect">
                          <a:avLst/>
                        </a:prstGeom>
                        <a:solidFill>
                          <a:srgbClr val="FFFFFF"/>
                        </a:solidFill>
                        <a:ln w="9525">
                          <a:solidFill>
                            <a:srgbClr val="000000"/>
                          </a:solidFill>
                          <a:miter lim="800000"/>
                          <a:headEnd/>
                          <a:tailEnd/>
                        </a:ln>
                      </wps:spPr>
                      <wps:txbx>
                        <w:txbxContent>
                          <w:p w14:paraId="24EEB72F" w14:textId="0A823D4B" w:rsidR="00631FB1" w:rsidRPr="00093430" w:rsidRDefault="00631FB1" w:rsidP="001C4049">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the following principles:</w:t>
                            </w:r>
                          </w:p>
                          <w:p w14:paraId="74F64ADB" w14:textId="77777777" w:rsidR="00631FB1" w:rsidRPr="00221863" w:rsidRDefault="00631FB1" w:rsidP="001C4049">
                            <w:pPr>
                              <w:numPr>
                                <w:ilvl w:val="0"/>
                                <w:numId w:val="8"/>
                              </w:numPr>
                              <w:overflowPunct w:val="0"/>
                              <w:autoSpaceDE w:val="0"/>
                              <w:autoSpaceDN w:val="0"/>
                              <w:adjustRightInd w:val="0"/>
                              <w:spacing w:after="0"/>
                              <w:textAlignment w:val="baseline"/>
                              <w:rPr>
                                <w:rFonts w:eastAsia="PMingLiU"/>
                                <w:lang w:eastAsia="zh-TW"/>
                              </w:rPr>
                            </w:pPr>
                            <w:r w:rsidRPr="00221863">
                              <w:rPr>
                                <w:rFonts w:eastAsia="PMingLiU"/>
                                <w:lang w:eastAsia="zh-TW"/>
                              </w:rPr>
                              <w:t>FDD is assumed for core specification work for NR-NTN.</w:t>
                            </w:r>
                          </w:p>
                          <w:p w14:paraId="27A2AA06" w14:textId="77777777" w:rsidR="00631FB1" w:rsidRPr="00221863" w:rsidRDefault="00631FB1" w:rsidP="001C4049">
                            <w:pPr>
                              <w:numPr>
                                <w:ilvl w:val="1"/>
                                <w:numId w:val="8"/>
                              </w:numPr>
                              <w:overflowPunct w:val="0"/>
                              <w:autoSpaceDE w:val="0"/>
                              <w:autoSpaceDN w:val="0"/>
                              <w:adjustRightInd w:val="0"/>
                              <w:spacing w:after="0"/>
                              <w:textAlignment w:val="baseline"/>
                              <w:rPr>
                                <w:rFonts w:eastAsia="PMingLiU"/>
                                <w:lang w:eastAsia="zh-TW"/>
                              </w:rPr>
                            </w:pPr>
                            <w:r w:rsidRPr="00221863">
                              <w:rPr>
                                <w:rFonts w:eastAsia="PMingLiU"/>
                                <w:lang w:eastAsia="zh-TW"/>
                              </w:rPr>
                              <w:t>NOTE: This does not imply that TDD cannot be used for relevant scenarios e.g. HAPS, ATG</w:t>
                            </w:r>
                          </w:p>
                          <w:p w14:paraId="26616267" w14:textId="77777777" w:rsidR="00631FB1" w:rsidRDefault="00631FB1" w:rsidP="001C4049">
                            <w:pPr>
                              <w:numPr>
                                <w:ilvl w:val="0"/>
                                <w:numId w:val="8"/>
                              </w:numPr>
                              <w:overflowPunct w:val="0"/>
                              <w:autoSpaceDE w:val="0"/>
                              <w:autoSpaceDN w:val="0"/>
                              <w:adjustRightInd w:val="0"/>
                              <w:spacing w:after="0"/>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14:paraId="0108C211" w14:textId="77777777" w:rsidR="00631FB1" w:rsidRDefault="00631FB1" w:rsidP="001C4049">
                            <w:pPr>
                              <w:numPr>
                                <w:ilvl w:val="0"/>
                                <w:numId w:val="8"/>
                              </w:numPr>
                              <w:overflowPunct w:val="0"/>
                              <w:autoSpaceDE w:val="0"/>
                              <w:autoSpaceDN w:val="0"/>
                              <w:adjustRightInd w:val="0"/>
                              <w:spacing w:after="0"/>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29FD8C4B" w14:textId="28535CE1" w:rsidR="00631FB1" w:rsidRPr="001C4049" w:rsidRDefault="00631FB1" w:rsidP="001C4049">
                            <w:pPr>
                              <w:numPr>
                                <w:ilvl w:val="0"/>
                                <w:numId w:val="8"/>
                              </w:numPr>
                              <w:overflowPunct w:val="0"/>
                              <w:autoSpaceDE w:val="0"/>
                              <w:autoSpaceDN w:val="0"/>
                              <w:adjustRightInd w:val="0"/>
                              <w:spacing w:after="0"/>
                              <w:textAlignment w:val="baseline"/>
                              <w:rPr>
                                <w:rFonts w:eastAsia="PMingLiU"/>
                                <w:lang w:eastAsia="zh-TW"/>
                              </w:rPr>
                            </w:pPr>
                            <w:r>
                              <w:rPr>
                                <w:rFonts w:eastAsia="PMingLiU"/>
                                <w:lang w:eastAsia="zh-TW"/>
                              </w:rPr>
                              <w:t>Transparent payload is assumed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xmlns:w16="http://schemas.microsoft.com/office/word/2018/wordml" xmlns:w16cex="http://schemas.microsoft.com/office/word/2018/wordml/cex">
            <w:pict w14:anchorId="2BC1DC95">
              <v:shapetype id="_x0000_t202" coordsize="21600,21600" o:spt="202" path="m,l,21600r21600,l21600,xe" w14:anchorId="0537F67B">
                <v:stroke joinstyle="miter"/>
                <v:path gradientshapeok="t" o:connecttype="rect"/>
              </v:shapetype>
              <v:shape id="Text Box 2" style="position:absolute;left:0;text-align:left;margin-left:3.25pt;margin-top:52.3pt;width:474.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Hp7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">
                <v:textbox style="mso-fit-shape-to-text:t">
                  <w:txbxContent>
                    <w:p w:rsidRPr="00093430" w:rsidR="00631FB1" w:rsidP="001C4049" w:rsidRDefault="00631FB1" w14:paraId="29BB4866" w14:textId="0A823D4B">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the following principles:</w:t>
                      </w:r>
                    </w:p>
                    <w:p w:rsidRPr="00221863" w:rsidR="00631FB1" w:rsidP="001C4049" w:rsidRDefault="00631FB1" w14:paraId="6F60EFE5" w14:textId="77777777">
                      <w:pPr>
                        <w:numPr>
                          <w:ilvl w:val="0"/>
                          <w:numId w:val="8"/>
                        </w:numPr>
                        <w:overflowPunct w:val="0"/>
                        <w:autoSpaceDE w:val="0"/>
                        <w:autoSpaceDN w:val="0"/>
                        <w:adjustRightInd w:val="0"/>
                        <w:spacing w:after="0"/>
                        <w:textAlignment w:val="baseline"/>
                        <w:rPr>
                          <w:rFonts w:eastAsia="PMingLiU"/>
                          <w:lang w:eastAsia="zh-TW"/>
                        </w:rPr>
                      </w:pPr>
                      <w:r w:rsidRPr="00221863">
                        <w:rPr>
                          <w:rFonts w:eastAsia="PMingLiU"/>
                          <w:lang w:eastAsia="zh-TW"/>
                        </w:rPr>
                        <w:t>FDD is assumed for core specification work for NR-NTN.</w:t>
                      </w:r>
                    </w:p>
                    <w:p w:rsidRPr="00221863" w:rsidR="00631FB1" w:rsidP="001C4049" w:rsidRDefault="00631FB1" w14:paraId="7E74D20B" w14:textId="77777777">
                      <w:pPr>
                        <w:numPr>
                          <w:ilvl w:val="1"/>
                          <w:numId w:val="8"/>
                        </w:numPr>
                        <w:overflowPunct w:val="0"/>
                        <w:autoSpaceDE w:val="0"/>
                        <w:autoSpaceDN w:val="0"/>
                        <w:adjustRightInd w:val="0"/>
                        <w:spacing w:after="0"/>
                        <w:textAlignment w:val="baseline"/>
                        <w:rPr>
                          <w:rFonts w:eastAsia="PMingLiU"/>
                          <w:lang w:eastAsia="zh-TW"/>
                        </w:rPr>
                      </w:pPr>
                      <w:r w:rsidRPr="00221863">
                        <w:rPr>
                          <w:rFonts w:eastAsia="PMingLiU"/>
                          <w:lang w:eastAsia="zh-TW"/>
                        </w:rPr>
                        <w:t>NOTE: This does not imply that TDD cannot be used for relevant scenarios e.g. HAPS, ATG</w:t>
                      </w:r>
                    </w:p>
                    <w:p w:rsidR="00631FB1" w:rsidP="001C4049" w:rsidRDefault="00631FB1" w14:paraId="11AA3895" w14:textId="77777777">
                      <w:pPr>
                        <w:numPr>
                          <w:ilvl w:val="0"/>
                          <w:numId w:val="8"/>
                        </w:numPr>
                        <w:overflowPunct w:val="0"/>
                        <w:autoSpaceDE w:val="0"/>
                        <w:autoSpaceDN w:val="0"/>
                        <w:adjustRightInd w:val="0"/>
                        <w:spacing w:after="0"/>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rsidR="00631FB1" w:rsidP="001C4049" w:rsidRDefault="00631FB1" w14:paraId="2839E1DC" w14:textId="77777777">
                      <w:pPr>
                        <w:numPr>
                          <w:ilvl w:val="0"/>
                          <w:numId w:val="8"/>
                        </w:numPr>
                        <w:overflowPunct w:val="0"/>
                        <w:autoSpaceDE w:val="0"/>
                        <w:autoSpaceDN w:val="0"/>
                        <w:adjustRightInd w:val="0"/>
                        <w:spacing w:after="0"/>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rsidRPr="001C4049" w:rsidR="00631FB1" w:rsidP="001C4049" w:rsidRDefault="00631FB1" w14:paraId="7B9FC633" w14:textId="28535CE1">
                      <w:pPr>
                        <w:numPr>
                          <w:ilvl w:val="0"/>
                          <w:numId w:val="8"/>
                        </w:numPr>
                        <w:overflowPunct w:val="0"/>
                        <w:autoSpaceDE w:val="0"/>
                        <w:autoSpaceDN w:val="0"/>
                        <w:adjustRightInd w:val="0"/>
                        <w:spacing w:after="0"/>
                        <w:textAlignment w:val="baseline"/>
                        <w:rPr>
                          <w:rFonts w:eastAsia="PMingLiU"/>
                          <w:lang w:eastAsia="zh-TW"/>
                        </w:rPr>
                      </w:pPr>
                      <w:r>
                        <w:rPr>
                          <w:rFonts w:eastAsia="PMingLiU"/>
                          <w:lang w:eastAsia="zh-TW"/>
                        </w:rPr>
                        <w:t>Transparent payload is assumed</w:t>
                      </w:r>
                    </w:p>
                  </w:txbxContent>
                </v:textbox>
                <w10:wrap type="square" anchorx="margin"/>
              </v:shape>
            </w:pict>
          </mc:Fallback>
        </mc:AlternateContent>
      </w:r>
      <w:r w:rsidR="00A209D6" w:rsidRPr="006E13D1">
        <w:t>1</w:t>
      </w:r>
      <w:r w:rsidR="00A209D6" w:rsidRPr="006E13D1">
        <w:tab/>
      </w:r>
      <w:r w:rsidR="00A209D6">
        <w:t>Introduction</w:t>
      </w:r>
    </w:p>
    <w:p w14:paraId="10EA634D" w14:textId="2C01E6ED" w:rsidR="001C4049" w:rsidRDefault="001C4049" w:rsidP="00A209D6">
      <w:r>
        <w:t>The 3GPP has defined a work item for Rel-17 on non-terrestrial networks (NTN)</w:t>
      </w:r>
      <w:r w:rsidR="00E2781E">
        <w:t xml:space="preserve">, </w:t>
      </w:r>
      <w:hyperlink r:id="rId13" w:history="1">
        <w:r w:rsidR="00E2781E" w:rsidRPr="005E694F">
          <w:rPr>
            <w:rStyle w:val="Hyperlink"/>
            <w:lang w:eastAsia="ja-JP"/>
          </w:rPr>
          <w:t>RP-201256</w:t>
        </w:r>
      </w:hyperlink>
      <w:r w:rsidR="00E2781E">
        <w:rPr>
          <w:rStyle w:val="Hyperlink"/>
          <w:lang w:eastAsia="ja-JP"/>
        </w:rPr>
        <w:t xml:space="preserve"> </w:t>
      </w:r>
      <w:r w:rsidR="006C2F97">
        <w:fldChar w:fldCharType="begin"/>
      </w:r>
      <w:r w:rsidR="006C2F97">
        <w:instrText xml:space="preserve"> REF _Ref45185613 \r \h </w:instrText>
      </w:r>
      <w:r w:rsidR="006C2F97">
        <w:fldChar w:fldCharType="separate"/>
      </w:r>
      <w:r w:rsidR="006C2F97">
        <w:t>[1]</w:t>
      </w:r>
      <w:r w:rsidR="006C2F97">
        <w:fldChar w:fldCharType="end"/>
      </w:r>
      <w:r>
        <w:t xml:space="preserve">. The main objective is </w:t>
      </w:r>
    </w:p>
    <w:p w14:paraId="14C21AA1" w14:textId="06B06FEF" w:rsidR="001C4049" w:rsidRDefault="001C4049" w:rsidP="00A209D6">
      <w:r>
        <w:t xml:space="preserve">In order to evaluate and specify features enhancing </w:t>
      </w:r>
      <w:r w:rsidR="00B1271F">
        <w:t>NR</w:t>
      </w:r>
      <w:r>
        <w:t xml:space="preserve"> to support NTN, a common understanding of the targeted scenario(s) is needed.</w:t>
      </w:r>
      <w:r w:rsidR="00C76B1D">
        <w:t xml:space="preserve"> </w:t>
      </w:r>
    </w:p>
    <w:p w14:paraId="15458E0A" w14:textId="4643FEF1" w:rsidR="00C76B1D" w:rsidRDefault="00C76B1D" w:rsidP="00846011">
      <w:r>
        <w:t xml:space="preserve">The simulation calibration results provided in </w:t>
      </w:r>
      <w:hyperlink r:id="rId14" w:history="1">
        <w:r w:rsidR="00684613" w:rsidRPr="00706621">
          <w:rPr>
            <w:rStyle w:val="Hyperlink"/>
            <w:lang w:eastAsia="zh-CN"/>
          </w:rPr>
          <w:t>TR 38.821</w:t>
        </w:r>
      </w:hyperlink>
      <w:r w:rsidR="00684613">
        <w:rPr>
          <w:rStyle w:val="Hyperlink"/>
          <w:lang w:eastAsia="zh-CN"/>
        </w:rPr>
        <w:t xml:space="preserve"> </w:t>
      </w:r>
      <w:r>
        <w:fldChar w:fldCharType="begin"/>
      </w:r>
      <w:r>
        <w:instrText xml:space="preserve"> REF _Ref45185621 \r \h </w:instrText>
      </w:r>
      <w:r>
        <w:fldChar w:fldCharType="separate"/>
      </w:r>
      <w:r>
        <w:t>[2]</w:t>
      </w:r>
      <w:r>
        <w:fldChar w:fldCharType="end"/>
      </w:r>
      <w:r>
        <w:t xml:space="preserve"> were focused on a stationary, snap-shot scenario</w:t>
      </w:r>
      <w:r w:rsidR="00C44D05">
        <w:t>s</w:t>
      </w:r>
      <w:r>
        <w:t xml:space="preserve"> </w:t>
      </w:r>
      <w:r w:rsidR="00C44D05">
        <w:t xml:space="preserve">from </w:t>
      </w:r>
      <w:hyperlink r:id="rId15" w:history="1">
        <w:r w:rsidR="00C44D05" w:rsidRPr="00C756AA">
          <w:rPr>
            <w:rStyle w:val="Hyperlink"/>
            <w:lang w:eastAsia="zh-CN"/>
          </w:rPr>
          <w:t>TR 38.811</w:t>
        </w:r>
      </w:hyperlink>
      <w:r w:rsidR="00C44D05">
        <w:rPr>
          <w:lang w:eastAsia="zh-CN"/>
        </w:rPr>
        <w:t xml:space="preserve"> </w:t>
      </w:r>
      <w:r w:rsidR="00C44D05">
        <w:fldChar w:fldCharType="begin"/>
      </w:r>
      <w:r w:rsidR="00C44D05">
        <w:instrText xml:space="preserve"> REF _Ref45186589 \r \h </w:instrText>
      </w:r>
      <w:r w:rsidR="00C44D05">
        <w:fldChar w:fldCharType="separate"/>
      </w:r>
      <w:r w:rsidR="00C44D05">
        <w:t>[3]</w:t>
      </w:r>
      <w:r w:rsidR="00C44D05">
        <w:fldChar w:fldCharType="end"/>
      </w:r>
      <w:r w:rsidR="00C44D05">
        <w:t xml:space="preserve">, </w:t>
      </w:r>
      <w:r>
        <w:t>where neither UEs nor satellite</w:t>
      </w:r>
      <w:r w:rsidR="00B1271F">
        <w:t>s</w:t>
      </w:r>
      <w:r>
        <w:t xml:space="preserve"> were moving. However, in order to evaluate </w:t>
      </w:r>
      <w:r w:rsidR="00993A71">
        <w:t xml:space="preserve">RAN2 </w:t>
      </w:r>
      <w:r>
        <w:t>solutions aiming at providing service continuity in terms of mobility, a more advanced scenario is needed</w:t>
      </w:r>
      <w:r w:rsidR="00C77470">
        <w:t xml:space="preserve"> compared to the scenarios already described in </w:t>
      </w:r>
      <w:hyperlink r:id="rId16" w:history="1">
        <w:r w:rsidR="00C77470" w:rsidRPr="00C756AA">
          <w:rPr>
            <w:rStyle w:val="Hyperlink"/>
            <w:lang w:eastAsia="zh-CN"/>
          </w:rPr>
          <w:t>TR 38.811</w:t>
        </w:r>
      </w:hyperlink>
      <w:r w:rsidR="00C77470">
        <w:rPr>
          <w:lang w:eastAsia="zh-CN"/>
        </w:rPr>
        <w:t xml:space="preserve"> </w:t>
      </w:r>
      <w:r w:rsidR="00C77470">
        <w:fldChar w:fldCharType="begin"/>
      </w:r>
      <w:r w:rsidR="00C77470">
        <w:instrText xml:space="preserve"> REF _Ref45186589 \r \h </w:instrText>
      </w:r>
      <w:r w:rsidR="00C77470">
        <w:fldChar w:fldCharType="separate"/>
      </w:r>
      <w:r w:rsidR="00C77470">
        <w:t>[3]</w:t>
      </w:r>
      <w:r w:rsidR="00C77470">
        <w:fldChar w:fldCharType="end"/>
      </w:r>
      <w:r>
        <w:t xml:space="preserve">. </w:t>
      </w:r>
    </w:p>
    <w:p w14:paraId="2991DFEB" w14:textId="152168AC" w:rsidR="00846011" w:rsidRDefault="00846011" w:rsidP="00846011">
      <w:r>
        <w:t xml:space="preserve">This document provides an overview of open issues for the </w:t>
      </w:r>
      <w:r w:rsidR="00F76CF1">
        <w:t xml:space="preserve">mobility simulation </w:t>
      </w:r>
      <w:r>
        <w:t>scenario(s) and the related evaluation</w:t>
      </w:r>
      <w:r w:rsidR="00F76CF1">
        <w:t>s</w:t>
      </w:r>
      <w:r>
        <w:t>.</w:t>
      </w:r>
    </w:p>
    <w:p w14:paraId="2BBFF540" w14:textId="0112AA6F" w:rsidR="00A209D6" w:rsidRPr="006E13D1" w:rsidRDefault="00A209D6" w:rsidP="00A209D6">
      <w:pPr>
        <w:pStyle w:val="Heading1"/>
      </w:pPr>
      <w:r w:rsidRPr="006E13D1">
        <w:t>2</w:t>
      </w:r>
      <w:r w:rsidRPr="006E13D1">
        <w:tab/>
      </w:r>
      <w:r w:rsidR="000B274C">
        <w:t>Mobility s</w:t>
      </w:r>
      <w:r w:rsidR="00C76B1D">
        <w:t xml:space="preserve">imulation </w:t>
      </w:r>
      <w:r w:rsidR="00846011">
        <w:t>aspects</w:t>
      </w:r>
    </w:p>
    <w:p w14:paraId="39AFAE03" w14:textId="0F363ADB" w:rsidR="00C87384" w:rsidRPr="006E13D1" w:rsidRDefault="00C87384" w:rsidP="00C87384">
      <w:pPr>
        <w:pStyle w:val="Heading2"/>
      </w:pPr>
      <w:bookmarkStart w:id="0" w:name="_Hlk45191176"/>
      <w:r>
        <w:t>2</w:t>
      </w:r>
      <w:r w:rsidRPr="006E13D1">
        <w:t>.1</w:t>
      </w:r>
      <w:r w:rsidRPr="006E13D1">
        <w:tab/>
      </w:r>
      <w:r>
        <w:t>Channel model aspects</w:t>
      </w:r>
      <w:bookmarkEnd w:id="0"/>
    </w:p>
    <w:p w14:paraId="7477F99B" w14:textId="4E68A996" w:rsidR="00C87384" w:rsidRDefault="00C87384" w:rsidP="00C87384">
      <w:r>
        <w:t xml:space="preserve">The </w:t>
      </w:r>
      <w:r w:rsidR="00303151">
        <w:t xml:space="preserve">RAN1 NTN </w:t>
      </w:r>
      <w:r>
        <w:t>calibration results in</w:t>
      </w:r>
      <w:r w:rsidRPr="007D73DA">
        <w:rPr>
          <w:lang w:eastAsia="zh-CN"/>
        </w:rPr>
        <w:t xml:space="preserve"> </w:t>
      </w:r>
      <w:hyperlink r:id="rId17" w:history="1">
        <w:r w:rsidR="00C756AA" w:rsidRPr="00706621">
          <w:rPr>
            <w:rStyle w:val="Hyperlink"/>
            <w:lang w:eastAsia="zh-CN"/>
          </w:rPr>
          <w:t>TR 38.821</w:t>
        </w:r>
      </w:hyperlink>
      <w:r>
        <w:t xml:space="preserve"> </w:t>
      </w:r>
      <w:r>
        <w:fldChar w:fldCharType="begin"/>
      </w:r>
      <w:r>
        <w:instrText xml:space="preserve"> REF _Ref45185621 \r \h </w:instrText>
      </w:r>
      <w:r>
        <w:fldChar w:fldCharType="separate"/>
      </w:r>
      <w:r>
        <w:t>[2]</w:t>
      </w:r>
      <w:r>
        <w:fldChar w:fldCharType="end"/>
      </w:r>
      <w:r>
        <w:t xml:space="preserve"> are based on the channel models provided in </w:t>
      </w:r>
      <w:hyperlink r:id="rId18" w:history="1">
        <w:r w:rsidR="00C756AA" w:rsidRPr="00C756AA">
          <w:rPr>
            <w:rStyle w:val="Hyperlink"/>
            <w:lang w:eastAsia="zh-CN"/>
          </w:rPr>
          <w:t>TR 38.811</w:t>
        </w:r>
      </w:hyperlink>
      <w:r>
        <w:t xml:space="preserve"> </w:t>
      </w:r>
      <w:r w:rsidR="00923441">
        <w:fldChar w:fldCharType="begin"/>
      </w:r>
      <w:r w:rsidR="00923441">
        <w:instrText xml:space="preserve"> REF _Ref45186589 \r \h </w:instrText>
      </w:r>
      <w:r w:rsidR="00923441">
        <w:fldChar w:fldCharType="separate"/>
      </w:r>
      <w:r w:rsidR="00923441">
        <w:t>[3]</w:t>
      </w:r>
      <w:r w:rsidR="00923441">
        <w:fldChar w:fldCharType="end"/>
      </w:r>
      <w:r w:rsidR="00923441">
        <w:t>. Those models, including path loss, shadow fading, fast fading and various space-earth specific propagation models were developed for drop-based simulations where there is no mobility involved. Note, inconsistent shadow fading parameters in the rural fast fading model w</w:t>
      </w:r>
      <w:r w:rsidR="00FB340E">
        <w:t>ere</w:t>
      </w:r>
      <w:r w:rsidR="00923441">
        <w:t xml:space="preserve"> corrected in the RAN plenary #88-e</w:t>
      </w:r>
      <w:r w:rsidR="00684613">
        <w:t xml:space="preserve"> </w:t>
      </w:r>
      <w:r w:rsidR="00684613">
        <w:rPr>
          <w:iCs/>
          <w:lang w:eastAsia="zh-CN"/>
        </w:rPr>
        <w:t xml:space="preserve"> </w:t>
      </w:r>
      <w:hyperlink r:id="rId19" w:history="1">
        <w:r w:rsidR="00684613" w:rsidRPr="00684613">
          <w:rPr>
            <w:rStyle w:val="Hyperlink"/>
            <w:iCs/>
            <w:lang w:eastAsia="zh-CN"/>
          </w:rPr>
          <w:t>RP-200717</w:t>
        </w:r>
      </w:hyperlink>
      <w:r w:rsidR="00923441">
        <w:t xml:space="preserve"> </w:t>
      </w:r>
      <w:r w:rsidR="00923441">
        <w:fldChar w:fldCharType="begin"/>
      </w:r>
      <w:r w:rsidR="00923441">
        <w:instrText xml:space="preserve"> REF _Ref45186591 \r \h </w:instrText>
      </w:r>
      <w:r w:rsidR="00923441">
        <w:fldChar w:fldCharType="separate"/>
      </w:r>
      <w:r w:rsidR="00923441">
        <w:t>[4]</w:t>
      </w:r>
      <w:r w:rsidR="00923441">
        <w:fldChar w:fldCharType="end"/>
      </w:r>
      <w:r w:rsidR="00923441">
        <w:t>.</w:t>
      </w:r>
    </w:p>
    <w:p w14:paraId="555507C1" w14:textId="2449E1AB" w:rsidR="00620121" w:rsidRDefault="001E3554" w:rsidP="00C87384">
      <w:r>
        <w:t xml:space="preserve">The main issue </w:t>
      </w:r>
      <w:r w:rsidR="00395CC7">
        <w:t xml:space="preserve">which remains to be </w:t>
      </w:r>
      <w:r>
        <w:t>address</w:t>
      </w:r>
      <w:r w:rsidR="00395CC7">
        <w:t>ed</w:t>
      </w:r>
      <w:r>
        <w:t xml:space="preserve"> is how to support </w:t>
      </w:r>
      <w:r w:rsidR="00395CC7">
        <w:t xml:space="preserve">mobility </w:t>
      </w:r>
      <w:r>
        <w:t xml:space="preserve">simulations </w:t>
      </w:r>
      <w:r w:rsidR="00395CC7">
        <w:t>in satellite scenario</w:t>
      </w:r>
      <w:r w:rsidR="00EA4AF9">
        <w:t>s</w:t>
      </w:r>
      <w:r w:rsidR="00395CC7">
        <w:t xml:space="preserve"> </w:t>
      </w:r>
      <w:r>
        <w:t xml:space="preserve">where </w:t>
      </w:r>
      <w:r w:rsidR="00395CC7">
        <w:t>temporally and</w:t>
      </w:r>
      <w:r w:rsidR="00241400">
        <w:t>/or</w:t>
      </w:r>
      <w:r w:rsidR="00395CC7">
        <w:t xml:space="preserve"> spatially correlated channel model</w:t>
      </w:r>
      <w:r w:rsidR="00241400">
        <w:t xml:space="preserve"> parameters</w:t>
      </w:r>
      <w:r w:rsidR="00395CC7">
        <w:t xml:space="preserve"> need</w:t>
      </w:r>
      <w:r w:rsidR="00753B8B">
        <w:t xml:space="preserve"> to be considered</w:t>
      </w:r>
      <w:r w:rsidR="00AD655D">
        <w:t xml:space="preserve"> during the simulation time</w:t>
      </w:r>
      <w:r>
        <w:t xml:space="preserve">. </w:t>
      </w:r>
      <w:r w:rsidR="002501B5">
        <w:t>On the other hand, t</w:t>
      </w:r>
      <w:r w:rsidR="006A206A">
        <w:t xml:space="preserve">he required simulation time is </w:t>
      </w:r>
      <w:r w:rsidR="00756543">
        <w:t xml:space="preserve">determined by the </w:t>
      </w:r>
      <w:r w:rsidR="00283D55">
        <w:t xml:space="preserve">expected </w:t>
      </w:r>
      <w:r w:rsidR="006A206A">
        <w:t xml:space="preserve">number of </w:t>
      </w:r>
      <w:r w:rsidR="00756543">
        <w:t>required</w:t>
      </w:r>
      <w:r w:rsidR="006A206A">
        <w:t xml:space="preserve"> mobility events </w:t>
      </w:r>
      <w:r w:rsidR="00756543">
        <w:t>experience</w:t>
      </w:r>
      <w:r w:rsidR="00283D55">
        <w:t>d</w:t>
      </w:r>
      <w:r w:rsidR="00756543">
        <w:t xml:space="preserve"> by the UEs</w:t>
      </w:r>
      <w:r w:rsidR="002501B5">
        <w:t>, which strongly depends</w:t>
      </w:r>
      <w:r w:rsidR="00F432CB">
        <w:t xml:space="preserve"> on the earth fixed or moving cell scenario under investigation</w:t>
      </w:r>
      <w:r w:rsidR="00756543">
        <w:t>.</w:t>
      </w:r>
    </w:p>
    <w:p w14:paraId="2F480038" w14:textId="6CF66E2E" w:rsidR="00620121" w:rsidRPr="002E696A" w:rsidRDefault="00F37B3A" w:rsidP="002E696A">
      <w:pPr>
        <w:pStyle w:val="ListParagraph"/>
        <w:numPr>
          <w:ilvl w:val="0"/>
          <w:numId w:val="14"/>
        </w:numPr>
        <w:ind w:left="1418" w:hanging="1058"/>
        <w:rPr>
          <w:b/>
          <w:bCs/>
        </w:rPr>
      </w:pPr>
      <w:bookmarkStart w:id="1" w:name="_Ref47608765"/>
      <w:r w:rsidRPr="002E696A">
        <w:rPr>
          <w:b/>
          <w:bCs/>
        </w:rPr>
        <w:t xml:space="preserve">RAN2 to </w:t>
      </w:r>
      <w:r w:rsidR="00DA1667">
        <w:rPr>
          <w:b/>
          <w:bCs/>
        </w:rPr>
        <w:t>determine the</w:t>
      </w:r>
      <w:r w:rsidR="00DA1667" w:rsidRPr="002E696A">
        <w:rPr>
          <w:b/>
          <w:bCs/>
        </w:rPr>
        <w:t xml:space="preserve"> </w:t>
      </w:r>
      <w:r w:rsidR="0061717E" w:rsidRPr="002E696A">
        <w:rPr>
          <w:b/>
          <w:bCs/>
        </w:rPr>
        <w:t xml:space="preserve">evaluation </w:t>
      </w:r>
      <w:r w:rsidR="00870223">
        <w:rPr>
          <w:b/>
          <w:bCs/>
        </w:rPr>
        <w:t xml:space="preserve">assumptions </w:t>
      </w:r>
      <w:r w:rsidR="00DA1667">
        <w:rPr>
          <w:b/>
          <w:bCs/>
        </w:rPr>
        <w:t>for the</w:t>
      </w:r>
      <w:r w:rsidR="0061717E" w:rsidRPr="002E696A">
        <w:rPr>
          <w:b/>
          <w:bCs/>
        </w:rPr>
        <w:t xml:space="preserve"> </w:t>
      </w:r>
      <w:r w:rsidR="00C95FB4" w:rsidRPr="002E696A">
        <w:rPr>
          <w:b/>
          <w:bCs/>
        </w:rPr>
        <w:t xml:space="preserve">mobility </w:t>
      </w:r>
      <w:r w:rsidR="00DA1667">
        <w:rPr>
          <w:b/>
          <w:bCs/>
        </w:rPr>
        <w:t xml:space="preserve">investigations </w:t>
      </w:r>
      <w:r w:rsidR="00C95FB4" w:rsidRPr="002E696A">
        <w:rPr>
          <w:b/>
          <w:bCs/>
        </w:rPr>
        <w:t>in NTN</w:t>
      </w:r>
      <w:r w:rsidR="007348A9" w:rsidRPr="002E696A">
        <w:rPr>
          <w:b/>
          <w:bCs/>
        </w:rPr>
        <w:t xml:space="preserve"> scenarios</w:t>
      </w:r>
      <w:bookmarkEnd w:id="1"/>
    </w:p>
    <w:p w14:paraId="081B505D" w14:textId="78CD8EA9" w:rsidR="00923441" w:rsidRDefault="009A1879" w:rsidP="00C87384">
      <w:r>
        <w:t xml:space="preserve">In addition to the needed </w:t>
      </w:r>
      <w:r w:rsidR="004C0A97">
        <w:t xml:space="preserve">minimum </w:t>
      </w:r>
      <w:r>
        <w:t>simulation time,</w:t>
      </w:r>
      <w:r w:rsidR="004C0A97">
        <w:t xml:space="preserve"> we highlight here also the channel modelling aspects.</w:t>
      </w:r>
      <w:r>
        <w:t xml:space="preserve"> </w:t>
      </w:r>
      <w:r w:rsidR="001E3554">
        <w:t xml:space="preserve">Specifically, table 6.6.1-1 of </w:t>
      </w:r>
      <w:hyperlink r:id="rId20" w:history="1">
        <w:r w:rsidR="00C756AA" w:rsidRPr="00C756AA">
          <w:rPr>
            <w:rStyle w:val="Hyperlink"/>
            <w:lang w:eastAsia="zh-CN"/>
          </w:rPr>
          <w:t>TR 38.811</w:t>
        </w:r>
      </w:hyperlink>
      <w:r w:rsidR="00C756AA">
        <w:rPr>
          <w:lang w:eastAsia="zh-CN"/>
        </w:rPr>
        <w:t xml:space="preserve"> </w:t>
      </w:r>
      <w:r w:rsidR="001E3554">
        <w:fldChar w:fldCharType="begin"/>
      </w:r>
      <w:r w:rsidR="001E3554">
        <w:instrText xml:space="preserve"> REF _Ref45186589 \r \h </w:instrText>
      </w:r>
      <w:r w:rsidR="001E3554">
        <w:fldChar w:fldCharType="separate"/>
      </w:r>
      <w:r w:rsidR="001E3554">
        <w:t>[3]</w:t>
      </w:r>
      <w:r w:rsidR="001E3554">
        <w:fldChar w:fldCharType="end"/>
      </w:r>
      <w:r w:rsidR="001E3554">
        <w:t xml:space="preserve"> defines the line-of-sight (LOS) probability as a function of the elevation angle and the scenario (urban, rural etc.). The elevation angles are provided with 10 degree steps and it is noted that the LOS probability is to be taken from the nearest reference elevation angle of the table. </w:t>
      </w:r>
    </w:p>
    <w:p w14:paraId="4F346888" w14:textId="66836A8E" w:rsidR="001E3554" w:rsidRDefault="001E3554" w:rsidP="00C87384">
      <w:r>
        <w:lastRenderedPageBreak/>
        <w:t xml:space="preserve">However, the LOS probability model does not define </w:t>
      </w:r>
      <w:r w:rsidR="00F60359">
        <w:t xml:space="preserve">any </w:t>
      </w:r>
      <w:r>
        <w:t xml:space="preserve">correlation </w:t>
      </w:r>
      <w:r w:rsidR="00F60359">
        <w:t xml:space="preserve">model </w:t>
      </w:r>
      <w:r>
        <w:t>in time and</w:t>
      </w:r>
      <w:r w:rsidR="00F60359">
        <w:t>/or</w:t>
      </w:r>
      <w:r>
        <w:t xml:space="preserve"> across elevation angles. For example, when the elevation angle between a UE and a satellite is increased and impl</w:t>
      </w:r>
      <w:r w:rsidR="000953BE">
        <w:t>ies</w:t>
      </w:r>
      <w:r>
        <w:t xml:space="preserve"> a switch from e.g. the row of 20 degrees to the row of 30 degrees, the basic model would imply the LOS probability is evaluated again </w:t>
      </w:r>
      <w:r w:rsidR="00C04FF3">
        <w:t xml:space="preserve">(i.e. without taking into account the current LOS/NLOS state) </w:t>
      </w:r>
      <w:r>
        <w:t xml:space="preserve">and potentially resulting in a LOS-NLOS switching behaviour. Experiencing multiple </w:t>
      </w:r>
      <w:r w:rsidR="00303151">
        <w:t xml:space="preserve">fully random </w:t>
      </w:r>
      <w:r>
        <w:t xml:space="preserve">state switches during </w:t>
      </w:r>
      <w:r w:rsidR="00646E30">
        <w:t>the simulation time</w:t>
      </w:r>
      <w:r w:rsidR="00E922CC">
        <w:t xml:space="preserve"> (</w:t>
      </w:r>
      <w:r>
        <w:t>satellite pass-over</w:t>
      </w:r>
      <w:r w:rsidR="00E922CC">
        <w:t>)</w:t>
      </w:r>
      <w:r>
        <w:t xml:space="preserve"> seems unrealistic, and thus it is necessary to define correlation </w:t>
      </w:r>
      <w:r w:rsidR="00F05BFB">
        <w:t xml:space="preserve">of the LOS probability versus </w:t>
      </w:r>
      <w:r>
        <w:t>the elevation angles.</w:t>
      </w:r>
      <w:r w:rsidR="00C0567A">
        <w:t xml:space="preserve"> This </w:t>
      </w:r>
      <w:r w:rsidR="00A1702C">
        <w:t xml:space="preserve">observation </w:t>
      </w:r>
      <w:r w:rsidR="00C0567A">
        <w:t>results in the following questions, which will impact the correlation</w:t>
      </w:r>
      <w:r w:rsidR="00303151">
        <w:t xml:space="preserve"> model</w:t>
      </w:r>
      <w:r w:rsidR="00C0567A">
        <w:t>:</w:t>
      </w:r>
    </w:p>
    <w:p w14:paraId="70D75AD7" w14:textId="1BB5CEE8" w:rsidR="00C0567A" w:rsidRPr="00821997" w:rsidRDefault="00C0567A" w:rsidP="00C0567A">
      <w:pPr>
        <w:pStyle w:val="ListParagraph"/>
        <w:numPr>
          <w:ilvl w:val="0"/>
          <w:numId w:val="11"/>
        </w:numPr>
        <w:rPr>
          <w:rFonts w:ascii="Times New Roman" w:hAnsi="Times New Roman"/>
          <w:sz w:val="20"/>
          <w:szCs w:val="20"/>
        </w:rPr>
      </w:pPr>
      <w:r w:rsidRPr="00821997">
        <w:rPr>
          <w:rFonts w:ascii="Times New Roman" w:hAnsi="Times New Roman"/>
          <w:sz w:val="20"/>
          <w:szCs w:val="20"/>
        </w:rPr>
        <w:t>How long is the transition time from LOS to NLOS and vice versa?</w:t>
      </w:r>
    </w:p>
    <w:p w14:paraId="28CF5BFF" w14:textId="22F4EC7E" w:rsidR="00C0567A" w:rsidRPr="00821997" w:rsidRDefault="00C0567A" w:rsidP="00C0567A">
      <w:pPr>
        <w:pStyle w:val="ListParagraph"/>
        <w:numPr>
          <w:ilvl w:val="0"/>
          <w:numId w:val="11"/>
        </w:numPr>
        <w:rPr>
          <w:rFonts w:ascii="Times New Roman" w:hAnsi="Times New Roman"/>
          <w:sz w:val="20"/>
          <w:szCs w:val="20"/>
        </w:rPr>
      </w:pPr>
      <w:r w:rsidRPr="00821997">
        <w:rPr>
          <w:rFonts w:ascii="Times New Roman" w:hAnsi="Times New Roman"/>
          <w:sz w:val="20"/>
          <w:szCs w:val="20"/>
        </w:rPr>
        <w:t>How to define the probability of a LOS/NLOS state transition?</w:t>
      </w:r>
    </w:p>
    <w:p w14:paraId="6A92F604" w14:textId="65B748A8" w:rsidR="00C0567A" w:rsidRPr="00821997" w:rsidRDefault="00C0567A" w:rsidP="00C0567A">
      <w:pPr>
        <w:pStyle w:val="ListParagraph"/>
        <w:numPr>
          <w:ilvl w:val="0"/>
          <w:numId w:val="11"/>
        </w:numPr>
        <w:rPr>
          <w:rFonts w:ascii="Times New Roman" w:hAnsi="Times New Roman"/>
          <w:sz w:val="20"/>
          <w:szCs w:val="20"/>
        </w:rPr>
      </w:pPr>
      <w:r w:rsidRPr="00821997">
        <w:rPr>
          <w:rFonts w:ascii="Times New Roman" w:hAnsi="Times New Roman"/>
          <w:sz w:val="20"/>
          <w:szCs w:val="20"/>
        </w:rPr>
        <w:t>How long to stay in LOS or NLOS state</w:t>
      </w:r>
      <w:r w:rsidR="00A95B25" w:rsidRPr="00821997">
        <w:rPr>
          <w:rFonts w:ascii="Times New Roman" w:hAnsi="Times New Roman"/>
          <w:sz w:val="20"/>
          <w:szCs w:val="20"/>
        </w:rPr>
        <w:t xml:space="preserve"> (elevation angle dependent)</w:t>
      </w:r>
      <w:r w:rsidRPr="00821997">
        <w:rPr>
          <w:rFonts w:ascii="Times New Roman" w:hAnsi="Times New Roman"/>
          <w:sz w:val="20"/>
          <w:szCs w:val="20"/>
        </w:rPr>
        <w:t xml:space="preserve">? </w:t>
      </w:r>
    </w:p>
    <w:p w14:paraId="06CCB288" w14:textId="2C5FA6DE" w:rsidR="001E3554" w:rsidRDefault="00A95B25" w:rsidP="00C87384">
      <w:pPr>
        <w:rPr>
          <w:lang w:val="en-US"/>
        </w:rPr>
      </w:pPr>
      <w:r>
        <w:rPr>
          <w:lang w:val="en-US"/>
        </w:rPr>
        <w:t>One potential model is a 2-state Markov chain as illustrated in</w:t>
      </w:r>
      <w:r w:rsidR="005F63D0">
        <w:rPr>
          <w:lang w:val="en-US"/>
        </w:rPr>
        <w:t xml:space="preserve"> </w:t>
      </w:r>
      <w:r w:rsidR="005F63D0">
        <w:rPr>
          <w:lang w:val="en-US"/>
        </w:rPr>
        <w:fldChar w:fldCharType="begin"/>
      </w:r>
      <w:r w:rsidR="005F63D0">
        <w:rPr>
          <w:lang w:val="en-US"/>
        </w:rPr>
        <w:instrText xml:space="preserve"> REF _Ref45187574 \h </w:instrText>
      </w:r>
      <w:r w:rsidR="005F63D0">
        <w:rPr>
          <w:lang w:val="en-US"/>
        </w:rPr>
      </w:r>
      <w:r w:rsidR="005F63D0">
        <w:rPr>
          <w:lang w:val="en-US"/>
        </w:rPr>
        <w:fldChar w:fldCharType="separate"/>
      </w:r>
      <w:r w:rsidR="005F63D0">
        <w:t xml:space="preserve">Figure </w:t>
      </w:r>
      <w:r w:rsidR="005F63D0">
        <w:rPr>
          <w:noProof/>
        </w:rPr>
        <w:t>1</w:t>
      </w:r>
      <w:r w:rsidR="005F63D0">
        <w:rPr>
          <w:lang w:val="en-US"/>
        </w:rPr>
        <w:fldChar w:fldCharType="end"/>
      </w:r>
      <w:r w:rsidR="005F63D0">
        <w:rPr>
          <w:lang w:val="en-US"/>
        </w:rPr>
        <w:t>.</w:t>
      </w:r>
    </w:p>
    <w:p w14:paraId="35EF09F6" w14:textId="77777777" w:rsidR="005F63D0" w:rsidRDefault="7AF333EF" w:rsidP="005F63D0">
      <w:pPr>
        <w:keepNext/>
        <w:jc w:val="center"/>
      </w:pPr>
      <w:r>
        <w:rPr>
          <w:noProof/>
        </w:rPr>
        <w:drawing>
          <wp:inline distT="0" distB="0" distL="0" distR="0" wp14:anchorId="2C470564" wp14:editId="0FE4B663">
            <wp:extent cx="3105398" cy="138967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1">
                      <a:extLst>
                        <a:ext uri="{28A0092B-C50C-407E-A947-70E740481C1C}">
                          <a14:useLocalDpi xmlns:a14="http://schemas.microsoft.com/office/drawing/2010/main" val="0"/>
                        </a:ext>
                      </a:extLst>
                    </a:blip>
                    <a:stretch>
                      <a:fillRect/>
                    </a:stretch>
                  </pic:blipFill>
                  <pic:spPr>
                    <a:xfrm>
                      <a:off x="0" y="0"/>
                      <a:ext cx="3105398" cy="1389679"/>
                    </a:xfrm>
                    <a:prstGeom prst="rect">
                      <a:avLst/>
                    </a:prstGeom>
                  </pic:spPr>
                </pic:pic>
              </a:graphicData>
            </a:graphic>
          </wp:inline>
        </w:drawing>
      </w:r>
    </w:p>
    <w:p w14:paraId="751066B5" w14:textId="7B816FD3" w:rsidR="00A95B25" w:rsidRPr="00A95B25" w:rsidRDefault="005F63D0" w:rsidP="005F63D0">
      <w:pPr>
        <w:pStyle w:val="Caption"/>
        <w:jc w:val="center"/>
        <w:rPr>
          <w:lang w:val="en-US"/>
        </w:rPr>
      </w:pPr>
      <w:bookmarkStart w:id="2" w:name="_Ref45187574"/>
      <w:r>
        <w:t xml:space="preserve">Figure </w:t>
      </w:r>
      <w:r>
        <w:fldChar w:fldCharType="begin"/>
      </w:r>
      <w:r>
        <w:instrText>SEQ Figure \* ARABIC</w:instrText>
      </w:r>
      <w:r>
        <w:fldChar w:fldCharType="separate"/>
      </w:r>
      <w:r>
        <w:rPr>
          <w:noProof/>
        </w:rPr>
        <w:t>1</w:t>
      </w:r>
      <w:r>
        <w:fldChar w:fldCharType="end"/>
      </w:r>
      <w:bookmarkEnd w:id="2"/>
      <w:r>
        <w:t xml:space="preserve"> LOS probability model based on 2-state Markov chain.</w:t>
      </w:r>
    </w:p>
    <w:p w14:paraId="1F106AB6" w14:textId="430158D2" w:rsidR="005F63D0" w:rsidRDefault="005F63D0" w:rsidP="00943E70">
      <w:r>
        <w:t>The probability of a state change would be:</w:t>
      </w:r>
    </w:p>
    <w:p w14:paraId="1521D730" w14:textId="0891CA6C" w:rsidR="005F63D0" w:rsidRPr="005F63D0" w:rsidRDefault="005F63D0" w:rsidP="005F63D0">
      <w:pPr>
        <w:rPr>
          <w:lang w:val="da-DK"/>
        </w:rPr>
      </w:pPr>
      <m:oMathPara>
        <m:oMathParaPr>
          <m:jc m:val="centerGroup"/>
        </m:oMathParaPr>
        <m:oMath>
          <m:r>
            <w:rPr>
              <w:rFonts w:ascii="Cambria Math" w:hAnsi="Cambria Math"/>
              <w:lang w:val="da-DK"/>
            </w:rPr>
            <m:t>P=</m:t>
          </m:r>
          <m:d>
            <m:dPr>
              <m:begChr m:val="["/>
              <m:endChr m:val="]"/>
              <m:ctrlPr>
                <w:rPr>
                  <w:rFonts w:ascii="Cambria Math" w:hAnsi="Cambria Math"/>
                  <w:i/>
                  <w:iCs/>
                  <w:lang w:val="da-DK"/>
                </w:rPr>
              </m:ctrlPr>
            </m:dPr>
            <m:e>
              <m:m>
                <m:mPr>
                  <m:mcs>
                    <m:mc>
                      <m:mcPr>
                        <m:count m:val="2"/>
                        <m:mcJc m:val="center"/>
                      </m:mcPr>
                    </m:mc>
                  </m:mcs>
                  <m:ctrlPr>
                    <w:rPr>
                      <w:rFonts w:ascii="Cambria Math" w:hAnsi="Cambria Math"/>
                      <w:i/>
                      <w:iCs/>
                      <w:lang w:val="da-DK"/>
                    </w:rPr>
                  </m:ctrlPr>
                </m:mPr>
                <m:mr>
                  <m:e>
                    <m:sSub>
                      <m:sSubPr>
                        <m:ctrlPr>
                          <w:rPr>
                            <w:rFonts w:ascii="Cambria Math" w:hAnsi="Cambria Math"/>
                            <w:i/>
                            <w:iCs/>
                            <w:lang w:val="da-DK"/>
                          </w:rPr>
                        </m:ctrlPr>
                      </m:sSubPr>
                      <m:e>
                        <m:r>
                          <w:rPr>
                            <w:rFonts w:ascii="Cambria Math" w:hAnsi="Cambria Math"/>
                            <w:lang w:val="da-DK"/>
                          </w:rPr>
                          <m:t>P</m:t>
                        </m:r>
                      </m:e>
                      <m:sub>
                        <m:r>
                          <w:rPr>
                            <w:rFonts w:ascii="Cambria Math" w:hAnsi="Cambria Math"/>
                            <w:lang w:val="da-DK"/>
                          </w:rPr>
                          <m:t>LOS</m:t>
                        </m:r>
                      </m:sub>
                    </m:sSub>
                  </m:e>
                  <m:e>
                    <m:sSub>
                      <m:sSubPr>
                        <m:ctrlPr>
                          <w:rPr>
                            <w:rFonts w:ascii="Cambria Math" w:hAnsi="Cambria Math"/>
                            <w:i/>
                            <w:iCs/>
                            <w:lang w:val="da-DK"/>
                          </w:rPr>
                        </m:ctrlPr>
                      </m:sSubPr>
                      <m:e>
                        <m:r>
                          <w:rPr>
                            <w:rFonts w:ascii="Cambria Math" w:hAnsi="Cambria Math"/>
                            <w:lang w:val="da-DK"/>
                          </w:rPr>
                          <m:t>P</m:t>
                        </m:r>
                      </m:e>
                      <m:sub>
                        <m:r>
                          <w:rPr>
                            <w:rFonts w:ascii="Cambria Math" w:hAnsi="Cambria Math"/>
                            <w:lang w:val="da-DK"/>
                          </w:rPr>
                          <m:t>LOS→NLOS</m:t>
                        </m:r>
                      </m:sub>
                    </m:sSub>
                  </m:e>
                </m:mr>
                <m:mr>
                  <m:e>
                    <m:sSub>
                      <m:sSubPr>
                        <m:ctrlPr>
                          <w:rPr>
                            <w:rFonts w:ascii="Cambria Math" w:hAnsi="Cambria Math"/>
                            <w:i/>
                            <w:iCs/>
                            <w:lang w:val="da-DK"/>
                          </w:rPr>
                        </m:ctrlPr>
                      </m:sSubPr>
                      <m:e>
                        <m:r>
                          <w:rPr>
                            <w:rFonts w:ascii="Cambria Math" w:hAnsi="Cambria Math"/>
                            <w:lang w:val="da-DK"/>
                          </w:rPr>
                          <m:t>P</m:t>
                        </m:r>
                      </m:e>
                      <m:sub>
                        <m:r>
                          <w:rPr>
                            <w:rFonts w:ascii="Cambria Math" w:hAnsi="Cambria Math"/>
                            <w:lang w:val="da-DK"/>
                          </w:rPr>
                          <m:t>NLOS→LOS</m:t>
                        </m:r>
                      </m:sub>
                    </m:sSub>
                  </m:e>
                  <m:e>
                    <m:sSub>
                      <m:sSubPr>
                        <m:ctrlPr>
                          <w:rPr>
                            <w:rFonts w:ascii="Cambria Math" w:hAnsi="Cambria Math"/>
                            <w:i/>
                            <w:iCs/>
                            <w:lang w:val="da-DK"/>
                          </w:rPr>
                        </m:ctrlPr>
                      </m:sSubPr>
                      <m:e>
                        <m:r>
                          <w:rPr>
                            <w:rFonts w:ascii="Cambria Math" w:hAnsi="Cambria Math"/>
                            <w:lang w:val="da-DK"/>
                          </w:rPr>
                          <m:t>P</m:t>
                        </m:r>
                      </m:e>
                      <m:sub>
                        <m:r>
                          <w:rPr>
                            <w:rFonts w:ascii="Cambria Math" w:hAnsi="Cambria Math"/>
                            <w:lang w:val="da-DK"/>
                          </w:rPr>
                          <m:t>NLOS</m:t>
                        </m:r>
                      </m:sub>
                    </m:sSub>
                  </m:e>
                </m:mr>
              </m:m>
            </m:e>
          </m:d>
          <m:r>
            <w:rPr>
              <w:rFonts w:ascii="Cambria Math" w:hAnsi="Cambria Math"/>
              <w:lang w:val="da-DK"/>
            </w:rPr>
            <m:t>=</m:t>
          </m:r>
          <m:d>
            <m:dPr>
              <m:begChr m:val="["/>
              <m:endChr m:val="]"/>
              <m:ctrlPr>
                <w:rPr>
                  <w:rFonts w:ascii="Cambria Math" w:hAnsi="Cambria Math"/>
                  <w:i/>
                  <w:iCs/>
                  <w:lang w:val="da-DK"/>
                </w:rPr>
              </m:ctrlPr>
            </m:dPr>
            <m:e>
              <m:m>
                <m:mPr>
                  <m:mcs>
                    <m:mc>
                      <m:mcPr>
                        <m:count m:val="2"/>
                        <m:mcJc m:val="center"/>
                      </m:mcPr>
                    </m:mc>
                  </m:mcs>
                  <m:ctrlPr>
                    <w:rPr>
                      <w:rFonts w:ascii="Cambria Math" w:hAnsi="Cambria Math"/>
                      <w:i/>
                      <w:iCs/>
                      <w:lang w:val="da-DK"/>
                    </w:rPr>
                  </m:ctrlPr>
                </m:mPr>
                <m:mr>
                  <m:e>
                    <m:r>
                      <w:rPr>
                        <w:rFonts w:ascii="Cambria Math" w:hAnsi="Cambria Math"/>
                        <w:lang w:val="da-DK"/>
                      </w:rPr>
                      <m:t>1-α</m:t>
                    </m:r>
                  </m:e>
                  <m:e>
                    <m:r>
                      <w:rPr>
                        <w:rFonts w:ascii="Cambria Math" w:hAnsi="Cambria Math"/>
                        <w:lang w:val="da-DK"/>
                      </w:rPr>
                      <m:t>α</m:t>
                    </m:r>
                  </m:e>
                </m:mr>
                <m:mr>
                  <m:e>
                    <m:r>
                      <w:rPr>
                        <w:rFonts w:ascii="Cambria Math" w:hAnsi="Cambria Math"/>
                        <w:lang w:val="da-DK"/>
                      </w:rPr>
                      <m:t>β</m:t>
                    </m:r>
                  </m:e>
                  <m:e>
                    <m:r>
                      <w:rPr>
                        <w:rFonts w:ascii="Cambria Math" w:hAnsi="Cambria Math"/>
                        <w:lang w:val="da-DK"/>
                      </w:rPr>
                      <m:t>1-β</m:t>
                    </m:r>
                  </m:e>
                </m:mr>
              </m:m>
            </m:e>
          </m:d>
        </m:oMath>
      </m:oMathPara>
    </w:p>
    <w:p w14:paraId="76BC6F66" w14:textId="3F052B05" w:rsidR="005F63D0" w:rsidRPr="005F63D0" w:rsidRDefault="005F63D0" w:rsidP="005F63D0">
      <w:pPr>
        <w:rPr>
          <w:lang w:val="en-US"/>
        </w:rPr>
      </w:pPr>
      <w:r w:rsidRPr="005F63D0">
        <w:rPr>
          <w:lang w:val="en-US"/>
        </w:rPr>
        <w:t xml:space="preserve">The stationary probability </w:t>
      </w:r>
      <m:oMath>
        <m:r>
          <w:rPr>
            <w:rFonts w:ascii="Cambria Math" w:hAnsi="Cambria Math"/>
            <w:lang w:val="en-US"/>
          </w:rPr>
          <m:t>π</m:t>
        </m:r>
      </m:oMath>
      <w:r w:rsidRPr="005F63D0">
        <w:rPr>
          <w:lang w:val="en-US"/>
        </w:rPr>
        <w:t xml:space="preserve"> is defined by</w:t>
      </w:r>
    </w:p>
    <w:p w14:paraId="360A9DFB" w14:textId="5C527936" w:rsidR="005F63D0" w:rsidRPr="005F63D0" w:rsidRDefault="005F63D0" w:rsidP="005F63D0">
      <w:pPr>
        <w:rPr>
          <w:lang w:val="da-DK"/>
        </w:rPr>
      </w:pPr>
      <m:oMathPara>
        <m:oMathParaPr>
          <m:jc m:val="centerGroup"/>
        </m:oMathParaPr>
        <m:oMath>
          <m:r>
            <w:rPr>
              <w:rFonts w:ascii="Cambria Math" w:hAnsi="Cambria Math"/>
              <w:lang w:val="en-US"/>
            </w:rPr>
            <m:t>π</m:t>
          </m:r>
          <m:r>
            <w:rPr>
              <w:rFonts w:ascii="Cambria Math" w:hAnsi="Cambria Math"/>
              <w:lang w:val="da-DK"/>
            </w:rPr>
            <m:t>P=</m:t>
          </m:r>
          <m:r>
            <w:rPr>
              <w:rFonts w:ascii="Cambria Math" w:hAnsi="Cambria Math"/>
              <w:lang w:val="en-US"/>
            </w:rPr>
            <m:t>π</m:t>
          </m:r>
          <m:r>
            <w:rPr>
              <w:rFonts w:ascii="Cambria Math" w:hAnsi="Cambria Math"/>
              <w:lang w:val="da-DK"/>
            </w:rPr>
            <m:t>=</m:t>
          </m:r>
          <m:d>
            <m:dPr>
              <m:begChr m:val="["/>
              <m:endChr m:val="]"/>
              <m:ctrlPr>
                <w:rPr>
                  <w:rFonts w:ascii="Cambria Math" w:hAnsi="Cambria Math"/>
                  <w:i/>
                  <w:iCs/>
                  <w:lang w:val="da-DK"/>
                </w:rPr>
              </m:ctrlPr>
            </m:dPr>
            <m:e>
              <m:m>
                <m:mPr>
                  <m:mcs>
                    <m:mc>
                      <m:mcPr>
                        <m:count m:val="2"/>
                        <m:mcJc m:val="center"/>
                      </m:mcPr>
                    </m:mc>
                  </m:mcs>
                  <m:ctrlPr>
                    <w:rPr>
                      <w:rFonts w:ascii="Cambria Math" w:hAnsi="Cambria Math"/>
                      <w:i/>
                      <w:iCs/>
                      <w:lang w:val="da-DK"/>
                    </w:rPr>
                  </m:ctrlPr>
                </m:mPr>
                <m:mr>
                  <m:e>
                    <m:sSub>
                      <m:sSubPr>
                        <m:ctrlPr>
                          <w:rPr>
                            <w:rFonts w:ascii="Cambria Math" w:hAnsi="Cambria Math"/>
                            <w:i/>
                            <w:iCs/>
                            <w:lang w:val="da-DK"/>
                          </w:rPr>
                        </m:ctrlPr>
                      </m:sSubPr>
                      <m:e>
                        <m:r>
                          <w:rPr>
                            <w:rFonts w:ascii="Cambria Math" w:hAnsi="Cambria Math"/>
                            <w:lang w:val="en-US"/>
                          </w:rPr>
                          <m:t>π</m:t>
                        </m:r>
                      </m:e>
                      <m:sub>
                        <m:r>
                          <w:rPr>
                            <w:rFonts w:ascii="Cambria Math" w:hAnsi="Cambria Math"/>
                            <w:lang w:val="da-DK"/>
                          </w:rPr>
                          <m:t>0</m:t>
                        </m:r>
                      </m:sub>
                    </m:sSub>
                  </m:e>
                  <m:e>
                    <m:sSub>
                      <m:sSubPr>
                        <m:ctrlPr>
                          <w:rPr>
                            <w:rFonts w:ascii="Cambria Math" w:hAnsi="Cambria Math"/>
                            <w:i/>
                            <w:iCs/>
                            <w:lang w:val="da-DK"/>
                          </w:rPr>
                        </m:ctrlPr>
                      </m:sSubPr>
                      <m:e>
                        <m:r>
                          <w:rPr>
                            <w:rFonts w:ascii="Cambria Math" w:hAnsi="Cambria Math"/>
                            <w:lang w:val="en-US"/>
                          </w:rPr>
                          <m:t>π</m:t>
                        </m:r>
                      </m:e>
                      <m:sub>
                        <m:r>
                          <w:rPr>
                            <w:rFonts w:ascii="Cambria Math" w:hAnsi="Cambria Math"/>
                            <w:lang w:val="da-DK"/>
                          </w:rPr>
                          <m:t>1</m:t>
                        </m:r>
                      </m:sub>
                    </m:sSub>
                  </m:e>
                </m:mr>
              </m:m>
            </m:e>
          </m:d>
        </m:oMath>
      </m:oMathPara>
    </w:p>
    <w:p w14:paraId="611D39EB" w14:textId="5F08E2C0" w:rsidR="005F63D0" w:rsidRPr="005F63D0" w:rsidRDefault="005F63D0" w:rsidP="005F63D0">
      <w:pPr>
        <w:rPr>
          <w:lang w:val="en-US"/>
        </w:rPr>
      </w:pPr>
      <w:r>
        <w:rPr>
          <w:lang w:val="en-US"/>
        </w:rPr>
        <w:t>where π</w:t>
      </w:r>
      <w:r w:rsidRPr="005F63D0">
        <w:rPr>
          <w:vertAlign w:val="subscript"/>
          <w:lang w:val="en-US"/>
        </w:rPr>
        <w:t>0</w:t>
      </w:r>
      <w:r>
        <w:rPr>
          <w:lang w:val="en-US"/>
        </w:rPr>
        <w:t xml:space="preserve"> corresponds to the LOS probability provided in </w:t>
      </w:r>
      <w:r>
        <w:t xml:space="preserve">table 6.6.1-1 of </w:t>
      </w:r>
      <w:hyperlink r:id="rId22" w:history="1">
        <w:r w:rsidR="0062578C" w:rsidRPr="00C756AA">
          <w:rPr>
            <w:rStyle w:val="Hyperlink"/>
            <w:lang w:eastAsia="zh-CN"/>
          </w:rPr>
          <w:t>TR 38.811</w:t>
        </w:r>
      </w:hyperlink>
      <w:r w:rsidR="0062578C">
        <w:rPr>
          <w:lang w:eastAsia="zh-CN"/>
        </w:rPr>
        <w:t xml:space="preserve"> </w:t>
      </w:r>
      <w:r>
        <w:fldChar w:fldCharType="begin"/>
      </w:r>
      <w:r>
        <w:instrText xml:space="preserve"> REF _Ref45186589 \r \h </w:instrText>
      </w:r>
      <w:r>
        <w:fldChar w:fldCharType="separate"/>
      </w:r>
      <w:r>
        <w:t>[3]</w:t>
      </w:r>
      <w:r>
        <w:fldChar w:fldCharType="end"/>
      </w:r>
      <w:r>
        <w:t xml:space="preserve">. The challenge is that multiple combinations of α,β will result in the targeted </w:t>
      </w:r>
      <w:r>
        <w:rPr>
          <w:lang w:val="en-US"/>
        </w:rPr>
        <w:t>π</w:t>
      </w:r>
      <w:r w:rsidRPr="005F63D0">
        <w:rPr>
          <w:vertAlign w:val="subscript"/>
          <w:lang w:val="en-US"/>
        </w:rPr>
        <w:t>0</w:t>
      </w:r>
      <w:r>
        <w:rPr>
          <w:lang w:val="en-US"/>
        </w:rPr>
        <w:t>,π</w:t>
      </w:r>
      <w:r>
        <w:rPr>
          <w:vertAlign w:val="subscript"/>
          <w:lang w:val="en-US"/>
        </w:rPr>
        <w:t>1</w:t>
      </w:r>
      <w:r>
        <w:t>, but provide very different times of stay per state and state switches.</w:t>
      </w:r>
    </w:p>
    <w:p w14:paraId="25B95AC4" w14:textId="0EB8655B" w:rsidR="005F63D0" w:rsidRDefault="00C65340" w:rsidP="00943E70">
      <w:pPr>
        <w:rPr>
          <w:lang w:val="en-US"/>
        </w:rPr>
      </w:pPr>
      <w:r>
        <w:rPr>
          <w:lang w:val="en-US"/>
        </w:rPr>
        <w:t xml:space="preserve">The </w:t>
      </w:r>
      <w:hyperlink r:id="rId23" w:history="1">
        <w:r w:rsidR="00CC35A7" w:rsidRPr="00CC35A7">
          <w:rPr>
            <w:rStyle w:val="Hyperlink"/>
            <w:iCs/>
            <w:lang w:eastAsia="zh-CN"/>
          </w:rPr>
          <w:t>ITU-R P.681-11</w:t>
        </w:r>
      </w:hyperlink>
      <w:r>
        <w:rPr>
          <w:lang w:eastAsia="zh-CN"/>
        </w:rPr>
        <w:t xml:space="preserve"> </w:t>
      </w:r>
      <w:r w:rsidR="00684613">
        <w:rPr>
          <w:lang w:val="en-US"/>
        </w:rPr>
        <w:fldChar w:fldCharType="begin"/>
      </w:r>
      <w:r w:rsidR="00684613">
        <w:rPr>
          <w:lang w:val="en-US"/>
        </w:rPr>
        <w:instrText xml:space="preserve"> REF _Ref45187958 \r \h </w:instrText>
      </w:r>
      <w:r w:rsidR="00684613">
        <w:rPr>
          <w:lang w:val="en-US"/>
        </w:rPr>
      </w:r>
      <w:r w:rsidR="00684613">
        <w:rPr>
          <w:lang w:val="en-US"/>
        </w:rPr>
        <w:fldChar w:fldCharType="separate"/>
      </w:r>
      <w:r w:rsidR="00684613">
        <w:rPr>
          <w:lang w:val="en-US"/>
        </w:rPr>
        <w:t>[5]</w:t>
      </w:r>
      <w:r w:rsidR="00684613">
        <w:rPr>
          <w:lang w:val="en-US"/>
        </w:rPr>
        <w:fldChar w:fldCharType="end"/>
      </w:r>
      <w:r w:rsidR="00684613">
        <w:rPr>
          <w:lang w:val="en-US"/>
        </w:rPr>
        <w:t xml:space="preserve"> </w:t>
      </w:r>
      <w:r>
        <w:rPr>
          <w:lang w:val="en-US"/>
        </w:rPr>
        <w:t>recommendation on propagation proposes a similar 2-state Markov chain with “good” and “bad” state where the duration of each state is modelled to be log-normally distributed.</w:t>
      </w:r>
    </w:p>
    <w:p w14:paraId="36301C32" w14:textId="2F37928C" w:rsidR="00B84E2A" w:rsidRDefault="00B84E2A" w:rsidP="00943E70">
      <w:r>
        <w:rPr>
          <w:lang w:val="en-US"/>
        </w:rPr>
        <w:t xml:space="preserve">As an example of the impact of using a </w:t>
      </w:r>
      <w:r w:rsidR="00CA3FDA">
        <w:rPr>
          <w:lang w:val="en-US"/>
        </w:rPr>
        <w:t xml:space="preserve">more detailed </w:t>
      </w:r>
      <w:r w:rsidR="00732D44">
        <w:rPr>
          <w:lang w:val="en-US"/>
        </w:rPr>
        <w:t>LOS-NLOS transition model</w:t>
      </w:r>
      <w:r w:rsidR="00CA3FDA">
        <w:rPr>
          <w:lang w:val="en-US"/>
        </w:rPr>
        <w:t xml:space="preserve">, in </w:t>
      </w:r>
      <w:r w:rsidR="00B64EB0">
        <w:rPr>
          <w:lang w:val="en-US"/>
        </w:rPr>
        <w:fldChar w:fldCharType="begin"/>
      </w:r>
      <w:r w:rsidR="00B64EB0">
        <w:rPr>
          <w:lang w:val="en-US"/>
        </w:rPr>
        <w:instrText xml:space="preserve"> REF _Ref54016407 </w:instrText>
      </w:r>
      <w:r w:rsidR="00B64EB0">
        <w:rPr>
          <w:lang w:val="en-US"/>
        </w:rPr>
        <w:fldChar w:fldCharType="separate"/>
      </w:r>
      <w:r w:rsidR="00B64EB0">
        <w:t xml:space="preserve">Figure </w:t>
      </w:r>
      <w:r w:rsidR="00B64EB0">
        <w:rPr>
          <w:noProof/>
        </w:rPr>
        <w:t>2</w:t>
      </w:r>
      <w:r w:rsidR="00B64EB0">
        <w:rPr>
          <w:lang w:val="en-US"/>
        </w:rPr>
        <w:fldChar w:fldCharType="end"/>
      </w:r>
      <w:r w:rsidR="00B64EB0">
        <w:rPr>
          <w:lang w:val="en-US"/>
        </w:rPr>
        <w:t xml:space="preserve"> </w:t>
      </w:r>
      <w:r w:rsidR="00CA3FDA">
        <w:rPr>
          <w:lang w:val="en-US"/>
        </w:rPr>
        <w:t>we show the</w:t>
      </w:r>
      <w:r w:rsidR="003B2771">
        <w:rPr>
          <w:lang w:val="en-US"/>
        </w:rPr>
        <w:t xml:space="preserve"> combined </w:t>
      </w:r>
      <w:r w:rsidR="00CA3FDA">
        <w:rPr>
          <w:lang w:val="en-US"/>
        </w:rPr>
        <w:t xml:space="preserve"> number of LOS-NLOS</w:t>
      </w:r>
      <w:r w:rsidR="006E35A0">
        <w:rPr>
          <w:lang w:val="en-US"/>
        </w:rPr>
        <w:t xml:space="preserve"> and </w:t>
      </w:r>
      <w:r w:rsidR="008D058B">
        <w:rPr>
          <w:lang w:val="en-US"/>
        </w:rPr>
        <w:t>NLOS-LOS</w:t>
      </w:r>
      <w:r w:rsidR="006E35A0">
        <w:rPr>
          <w:lang w:val="en-US"/>
        </w:rPr>
        <w:t xml:space="preserve"> transitions for a UE located in </w:t>
      </w:r>
      <w:r w:rsidR="00A37F40">
        <w:rPr>
          <w:lang w:val="en-US"/>
        </w:rPr>
        <w:t>a typical rural or urban area</w:t>
      </w:r>
      <w:r w:rsidR="005B754F">
        <w:rPr>
          <w:lang w:val="en-US"/>
        </w:rPr>
        <w:t>, when a LEO satellite is moving on an orbit at 600km</w:t>
      </w:r>
      <w:r w:rsidR="00A37F40">
        <w:rPr>
          <w:lang w:val="en-US"/>
        </w:rPr>
        <w:t xml:space="preserve">. For all the results </w:t>
      </w:r>
      <w:r w:rsidR="00585878">
        <w:rPr>
          <w:lang w:val="en-US"/>
        </w:rPr>
        <w:t xml:space="preserve">presented in in </w:t>
      </w:r>
      <w:r w:rsidR="00585878">
        <w:rPr>
          <w:lang w:val="en-US"/>
        </w:rPr>
        <w:fldChar w:fldCharType="begin"/>
      </w:r>
      <w:r w:rsidR="00585878">
        <w:rPr>
          <w:lang w:val="en-US"/>
        </w:rPr>
        <w:instrText xml:space="preserve"> REF _Ref54016407 </w:instrText>
      </w:r>
      <w:r w:rsidR="00585878">
        <w:rPr>
          <w:lang w:val="en-US"/>
        </w:rPr>
        <w:fldChar w:fldCharType="separate"/>
      </w:r>
      <w:r w:rsidR="00585878">
        <w:t xml:space="preserve">Figure </w:t>
      </w:r>
      <w:r w:rsidR="00585878">
        <w:rPr>
          <w:noProof/>
        </w:rPr>
        <w:t>2</w:t>
      </w:r>
      <w:r w:rsidR="00585878">
        <w:rPr>
          <w:lang w:val="en-US"/>
        </w:rPr>
        <w:fldChar w:fldCharType="end"/>
      </w:r>
      <w:r w:rsidR="00585878">
        <w:rPr>
          <w:lang w:val="en-US"/>
        </w:rPr>
        <w:t xml:space="preserve"> </w:t>
      </w:r>
      <w:r w:rsidR="00A37F40">
        <w:rPr>
          <w:lang w:val="en-US"/>
        </w:rPr>
        <w:t xml:space="preserve">we have used the scenario and LOS probability model as specified in </w:t>
      </w:r>
      <w:hyperlink r:id="rId24" w:history="1">
        <w:r w:rsidR="00A37F40" w:rsidRPr="00C756AA">
          <w:rPr>
            <w:rStyle w:val="Hyperlink"/>
            <w:lang w:eastAsia="zh-CN"/>
          </w:rPr>
          <w:t>TR 38.811</w:t>
        </w:r>
      </w:hyperlink>
      <w:r w:rsidR="00A37F40">
        <w:rPr>
          <w:lang w:eastAsia="zh-CN"/>
        </w:rPr>
        <w:t xml:space="preserve"> </w:t>
      </w:r>
      <w:r w:rsidR="00A37F40">
        <w:fldChar w:fldCharType="begin"/>
      </w:r>
      <w:r w:rsidR="00A37F40">
        <w:instrText xml:space="preserve"> REF _Ref45186589 \r \h </w:instrText>
      </w:r>
      <w:r w:rsidR="00A37F40">
        <w:fldChar w:fldCharType="separate"/>
      </w:r>
      <w:r w:rsidR="00A37F40">
        <w:t>[3]</w:t>
      </w:r>
      <w:r w:rsidR="00A37F40">
        <w:fldChar w:fldCharType="end"/>
      </w:r>
      <w:r w:rsidR="00A37F40">
        <w:t>.</w:t>
      </w:r>
      <w:r w:rsidR="00755F2A">
        <w:t xml:space="preserve"> The transitions are counted</w:t>
      </w:r>
      <w:r w:rsidR="0052083A">
        <w:t xml:space="preserve"> for</w:t>
      </w:r>
      <w:r w:rsidR="00581D26">
        <w:t xml:space="preserve"> every 1 degree </w:t>
      </w:r>
      <w:r w:rsidR="00213394">
        <w:t>step moveme</w:t>
      </w:r>
      <w:r w:rsidR="00E658E6">
        <w:t>nt of the satellite along the orbit</w:t>
      </w:r>
      <w:r w:rsidR="001C3DC6">
        <w:t>.</w:t>
      </w:r>
      <w:r w:rsidR="00A37F40">
        <w:t xml:space="preserve"> For the scenario labelled ‘3GPP’ we simply use the Table 6.6.1-1 of </w:t>
      </w:r>
      <w:hyperlink r:id="rId25" w:history="1">
        <w:r w:rsidR="00A37F40" w:rsidRPr="00C756AA">
          <w:rPr>
            <w:rStyle w:val="Hyperlink"/>
            <w:lang w:eastAsia="zh-CN"/>
          </w:rPr>
          <w:t>TR 38.811</w:t>
        </w:r>
      </w:hyperlink>
      <w:r w:rsidR="00A37F40">
        <w:rPr>
          <w:lang w:eastAsia="zh-CN"/>
        </w:rPr>
        <w:t xml:space="preserve"> </w:t>
      </w:r>
      <w:r w:rsidR="00A37F40">
        <w:fldChar w:fldCharType="begin"/>
      </w:r>
      <w:r w:rsidR="00A37F40">
        <w:instrText xml:space="preserve"> REF _Ref45186589 \r \h </w:instrText>
      </w:r>
      <w:r w:rsidR="00A37F40">
        <w:fldChar w:fldCharType="separate"/>
      </w:r>
      <w:r w:rsidR="00A37F40">
        <w:t>[3]</w:t>
      </w:r>
      <w:r w:rsidR="00A37F40">
        <w:fldChar w:fldCharType="end"/>
      </w:r>
      <w:r w:rsidR="00575324">
        <w:t xml:space="preserve">. In addition to the 3GPP model and the </w:t>
      </w:r>
      <w:r w:rsidR="000268DA">
        <w:t>transition model proposed above</w:t>
      </w:r>
      <w:r w:rsidR="00BC5632">
        <w:t xml:space="preserve"> (with the </w:t>
      </w:r>
      <w:r w:rsidR="00CE08EC">
        <w:t xml:space="preserve">α and β parameters </w:t>
      </w:r>
      <w:r w:rsidR="00A528DD">
        <w:t>derived</w:t>
      </w:r>
      <w:r w:rsidR="00930FB8">
        <w:t xml:space="preserve"> based on ray-tracing</w:t>
      </w:r>
      <w:r w:rsidR="00A528DD">
        <w:t>)</w:t>
      </w:r>
      <w:r w:rsidR="00CE292F">
        <w:t>,</w:t>
      </w:r>
      <w:r w:rsidR="000268DA">
        <w:t xml:space="preserve"> we show also the results obtained from ray-tracing </w:t>
      </w:r>
      <w:r w:rsidR="002C6B00">
        <w:t>(</w:t>
      </w:r>
      <w:r w:rsidR="00D87F08">
        <w:t xml:space="preserve">geometric </w:t>
      </w:r>
      <w:r w:rsidR="000268DA">
        <w:t>like</w:t>
      </w:r>
      <w:r w:rsidR="002C6B00">
        <w:t>)</w:t>
      </w:r>
      <w:r w:rsidR="000268DA">
        <w:t xml:space="preserve"> simulations</w:t>
      </w:r>
      <w:r w:rsidR="00D87F08">
        <w:t xml:space="preserve"> using realistic building layouts</w:t>
      </w:r>
      <w:r w:rsidR="000268DA">
        <w:t xml:space="preserve">. The </w:t>
      </w:r>
      <w:r w:rsidR="005B754F">
        <w:t xml:space="preserve">typical </w:t>
      </w:r>
      <w:r w:rsidR="000268DA">
        <w:t>buildings</w:t>
      </w:r>
      <w:r w:rsidR="00EF7121">
        <w:t xml:space="preserve"> </w:t>
      </w:r>
      <w:r w:rsidR="005B754F">
        <w:t xml:space="preserve">densities and heights </w:t>
      </w:r>
      <w:r w:rsidR="00EF7121">
        <w:t xml:space="preserve">are modelled as </w:t>
      </w:r>
      <w:r w:rsidR="00CE292F">
        <w:t xml:space="preserve">earlier </w:t>
      </w:r>
      <w:r w:rsidR="005B754F">
        <w:t>when deriving the</w:t>
      </w:r>
      <w:r w:rsidR="000268DA">
        <w:t xml:space="preserve"> </w:t>
      </w:r>
      <w:r w:rsidR="005B754F">
        <w:t xml:space="preserve">LOS probability results </w:t>
      </w:r>
      <w:r w:rsidR="005B754F">
        <w:rPr>
          <w:lang w:val="en-US"/>
        </w:rPr>
        <w:t xml:space="preserve">in </w:t>
      </w:r>
      <w:hyperlink r:id="rId26" w:history="1">
        <w:r w:rsidR="005B754F" w:rsidRPr="00C756AA">
          <w:rPr>
            <w:rStyle w:val="Hyperlink"/>
            <w:lang w:eastAsia="zh-CN"/>
          </w:rPr>
          <w:t>TR 38.811</w:t>
        </w:r>
      </w:hyperlink>
      <w:r w:rsidR="005B754F">
        <w:rPr>
          <w:lang w:eastAsia="zh-CN"/>
        </w:rPr>
        <w:t xml:space="preserve"> </w:t>
      </w:r>
      <w:r w:rsidR="005B754F">
        <w:fldChar w:fldCharType="begin"/>
      </w:r>
      <w:r w:rsidR="005B754F">
        <w:instrText xml:space="preserve"> REF _Ref45186589 \r \h </w:instrText>
      </w:r>
      <w:r w:rsidR="005B754F">
        <w:fldChar w:fldCharType="separate"/>
      </w:r>
      <w:r w:rsidR="005B754F">
        <w:t>[3]</w:t>
      </w:r>
      <w:r w:rsidR="005B754F">
        <w:fldChar w:fldCharType="end"/>
      </w:r>
      <w:r w:rsidR="005B754F">
        <w:t>.</w:t>
      </w:r>
      <w:r w:rsidR="00CE292F">
        <w:t xml:space="preserve"> The total satellite fly-</w:t>
      </w:r>
      <w:r w:rsidR="003B2771">
        <w:t>over</w:t>
      </w:r>
      <w:r w:rsidR="00CE292F">
        <w:t xml:space="preserve"> time </w:t>
      </w:r>
      <w:r w:rsidR="00D87F08">
        <w:t xml:space="preserve">(from one horizon to </w:t>
      </w:r>
      <w:r w:rsidR="003B2771">
        <w:t xml:space="preserve">other) </w:t>
      </w:r>
      <w:r w:rsidR="00CE292F">
        <w:t xml:space="preserve">for </w:t>
      </w:r>
      <w:r w:rsidR="007A1A72">
        <w:t>these examples</w:t>
      </w:r>
      <w:r w:rsidR="00CE292F">
        <w:t xml:space="preserve"> was </w:t>
      </w:r>
      <w:r w:rsidR="00420DB4">
        <w:t>494.2 seconds</w:t>
      </w:r>
      <w:r w:rsidR="00883B4C">
        <w:t>, corresponding to a minimum elevation angle of 10 degrees</w:t>
      </w:r>
      <w:r w:rsidR="00B64EB0">
        <w:t>.</w:t>
      </w:r>
      <w:r w:rsidR="00681F65">
        <w:t xml:space="preserve"> It is evident that the current 3GPP </w:t>
      </w:r>
      <w:r w:rsidR="008A5E64">
        <w:t xml:space="preserve">LOS </w:t>
      </w:r>
      <w:r w:rsidR="00681F65">
        <w:t xml:space="preserve">model provided in </w:t>
      </w:r>
      <w:hyperlink r:id="rId27" w:history="1">
        <w:r w:rsidR="00681F65" w:rsidRPr="00C756AA">
          <w:rPr>
            <w:rStyle w:val="Hyperlink"/>
            <w:lang w:eastAsia="zh-CN"/>
          </w:rPr>
          <w:t>TR 38.811</w:t>
        </w:r>
      </w:hyperlink>
      <w:r w:rsidR="00681F65">
        <w:rPr>
          <w:lang w:eastAsia="zh-CN"/>
        </w:rPr>
        <w:t xml:space="preserve"> </w:t>
      </w:r>
      <w:r w:rsidR="00681F65">
        <w:fldChar w:fldCharType="begin"/>
      </w:r>
      <w:r w:rsidR="00681F65">
        <w:instrText xml:space="preserve"> REF _Ref45186589 \r \h </w:instrText>
      </w:r>
      <w:r w:rsidR="00681F65">
        <w:fldChar w:fldCharType="separate"/>
      </w:r>
      <w:r w:rsidR="00681F65">
        <w:t>[3]</w:t>
      </w:r>
      <w:r w:rsidR="00681F65">
        <w:fldChar w:fldCharType="end"/>
      </w:r>
      <w:r w:rsidR="003B2771">
        <w:t xml:space="preserve"> significantly </w:t>
      </w:r>
      <w:r w:rsidR="00681F65">
        <w:t>overestimates the number of LOS-NLOS and NLOS-LOS tra</w:t>
      </w:r>
      <w:r w:rsidR="00D87F08">
        <w:t>nsitions</w:t>
      </w:r>
      <w:r w:rsidR="006C64E6">
        <w:t xml:space="preserve"> </w:t>
      </w:r>
      <w:r w:rsidR="004C3BC5">
        <w:t>experience</w:t>
      </w:r>
      <w:r w:rsidR="0080188A">
        <w:t>d</w:t>
      </w:r>
      <w:r w:rsidR="004C3BC5">
        <w:t xml:space="preserve"> by the UE, </w:t>
      </w:r>
      <w:r w:rsidR="006C64E6">
        <w:t xml:space="preserve">by a factor of </w:t>
      </w:r>
      <w:r w:rsidR="008F7C1D">
        <w:t xml:space="preserve">30 to </w:t>
      </w:r>
      <w:r w:rsidR="006C64E6">
        <w:t>40</w:t>
      </w:r>
      <w:r w:rsidR="0080188A">
        <w:t>(!)</w:t>
      </w:r>
      <w:r w:rsidR="006C64E6">
        <w:t xml:space="preserve"> </w:t>
      </w:r>
      <w:r w:rsidR="008F7C1D">
        <w:t>depending on the environment</w:t>
      </w:r>
      <w:r w:rsidR="00D87F08">
        <w:t>.</w:t>
      </w:r>
      <w:r w:rsidR="008F7C1D">
        <w:t xml:space="preserve"> We believe, such</w:t>
      </w:r>
      <w:r w:rsidR="00441DF5">
        <w:t xml:space="preserve"> modelling inaccurac</w:t>
      </w:r>
      <w:r w:rsidR="004C3BC5">
        <w:t>ies</w:t>
      </w:r>
      <w:r w:rsidR="00441DF5">
        <w:t xml:space="preserve"> </w:t>
      </w:r>
      <w:r w:rsidR="009B0C01">
        <w:t xml:space="preserve">would </w:t>
      </w:r>
      <w:r w:rsidR="00441DF5">
        <w:t>lead to</w:t>
      </w:r>
      <w:r w:rsidR="0043171B">
        <w:t xml:space="preserve"> highly inaccurate mobility performance numbers</w:t>
      </w:r>
      <w:r w:rsidR="0080188A">
        <w:t xml:space="preserve"> and can incorrectly suggest the technical areas which require addressing</w:t>
      </w:r>
      <w:r w:rsidR="00B06A93">
        <w:t xml:space="preserve"> in the context of NTN mobility</w:t>
      </w:r>
      <w:r w:rsidR="0043171B">
        <w:t xml:space="preserve">. </w:t>
      </w:r>
    </w:p>
    <w:p w14:paraId="7484C29D" w14:textId="2962DB2D" w:rsidR="00CD0E69" w:rsidRPr="008F15E1" w:rsidRDefault="00CD0E69" w:rsidP="00631FB1">
      <w:pPr>
        <w:pStyle w:val="ListParagraph"/>
        <w:numPr>
          <w:ilvl w:val="0"/>
          <w:numId w:val="20"/>
        </w:numPr>
        <w:rPr>
          <w:b/>
          <w:bCs/>
        </w:rPr>
      </w:pPr>
      <w:r w:rsidRPr="008F15E1">
        <w:rPr>
          <w:b/>
          <w:bCs/>
        </w:rPr>
        <w:t xml:space="preserve"> </w:t>
      </w:r>
      <w:bookmarkStart w:id="3" w:name="_Ref54022953"/>
      <w:r w:rsidR="00631FB1" w:rsidRPr="008F15E1">
        <w:rPr>
          <w:b/>
          <w:bCs/>
        </w:rPr>
        <w:t>3GPP model (in line with TR 38.811) leads to 30 – 40 times more LOS/NLOS transitions compared to other models, such as ray-tracing based or 2-state Markov chain based.</w:t>
      </w:r>
      <w:bookmarkEnd w:id="3"/>
      <w:r w:rsidR="00631FB1" w:rsidRPr="008F15E1">
        <w:rPr>
          <w:b/>
          <w:bCs/>
        </w:rPr>
        <w:t xml:space="preserve"> </w:t>
      </w:r>
    </w:p>
    <w:p w14:paraId="7BF42D41" w14:textId="7950EBA9" w:rsidR="00A61979" w:rsidRDefault="000B04D4" w:rsidP="008F15E1">
      <w:pPr>
        <w:jc w:val="center"/>
      </w:pPr>
      <w:r>
        <w:rPr>
          <w:noProof/>
        </w:rPr>
        <w:lastRenderedPageBreak/>
        <w:drawing>
          <wp:inline distT="0" distB="0" distL="0" distR="0" wp14:anchorId="4864CA8C" wp14:editId="287EA925">
            <wp:extent cx="388620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7843" cy="2915882"/>
                    </a:xfrm>
                    <a:prstGeom prst="rect">
                      <a:avLst/>
                    </a:prstGeom>
                    <a:noFill/>
                    <a:ln>
                      <a:noFill/>
                    </a:ln>
                  </pic:spPr>
                </pic:pic>
              </a:graphicData>
            </a:graphic>
          </wp:inline>
        </w:drawing>
      </w:r>
    </w:p>
    <w:p w14:paraId="66D5C0A7" w14:textId="33BF27F8" w:rsidR="00B64EB0" w:rsidRPr="00A95B25" w:rsidRDefault="00B64EB0" w:rsidP="00B64EB0">
      <w:pPr>
        <w:pStyle w:val="Caption"/>
        <w:jc w:val="center"/>
        <w:rPr>
          <w:lang w:val="en-US"/>
        </w:rPr>
      </w:pPr>
      <w:bookmarkStart w:id="4" w:name="_Ref54016407"/>
      <w:r>
        <w:t xml:space="preserve">Figure </w:t>
      </w:r>
      <w:r>
        <w:fldChar w:fldCharType="begin"/>
      </w:r>
      <w:r>
        <w:instrText>SEQ Figure \* ARABIC</w:instrText>
      </w:r>
      <w:r>
        <w:fldChar w:fldCharType="separate"/>
      </w:r>
      <w:r>
        <w:rPr>
          <w:noProof/>
        </w:rPr>
        <w:t>2</w:t>
      </w:r>
      <w:r>
        <w:fldChar w:fldCharType="end"/>
      </w:r>
      <w:bookmarkEnd w:id="4"/>
      <w:r>
        <w:t xml:space="preserve"> Example of results for average number of LOS-NLOS transitions</w:t>
      </w:r>
      <w:r w:rsidR="00F85482">
        <w:t xml:space="preserve"> when using different modelling approaches</w:t>
      </w:r>
      <w:r w:rsidR="00AB3622">
        <w:t>;</w:t>
      </w:r>
      <w:r>
        <w:t xml:space="preserve"> LEO satellite at 600km altitude.</w:t>
      </w:r>
    </w:p>
    <w:p w14:paraId="51D0EF2D" w14:textId="77777777" w:rsidR="00B64EB0" w:rsidRDefault="00B64EB0" w:rsidP="00943E70">
      <w:pPr>
        <w:rPr>
          <w:lang w:val="en-US"/>
        </w:rPr>
      </w:pPr>
    </w:p>
    <w:p w14:paraId="56E6E520" w14:textId="3949B427" w:rsidR="00C65340" w:rsidRPr="002E696A" w:rsidRDefault="00C65340" w:rsidP="002E696A">
      <w:pPr>
        <w:pStyle w:val="ListParagraph"/>
        <w:numPr>
          <w:ilvl w:val="0"/>
          <w:numId w:val="14"/>
        </w:numPr>
        <w:rPr>
          <w:b/>
          <w:bCs/>
        </w:rPr>
      </w:pPr>
      <w:bookmarkStart w:id="5" w:name="_Ref47608819"/>
      <w:r w:rsidRPr="002E696A">
        <w:rPr>
          <w:b/>
          <w:bCs/>
        </w:rPr>
        <w:t xml:space="preserve">RAN2 to discuss </w:t>
      </w:r>
      <w:r w:rsidR="00427899" w:rsidRPr="002E696A">
        <w:rPr>
          <w:b/>
          <w:bCs/>
        </w:rPr>
        <w:t xml:space="preserve">a LOS probability model </w:t>
      </w:r>
      <w:r w:rsidR="00F60359">
        <w:rPr>
          <w:b/>
          <w:bCs/>
        </w:rPr>
        <w:t xml:space="preserve">including </w:t>
      </w:r>
      <w:r w:rsidR="00F74567">
        <w:rPr>
          <w:b/>
          <w:bCs/>
        </w:rPr>
        <w:t>the</w:t>
      </w:r>
      <w:r w:rsidR="00F60359" w:rsidRPr="002E696A">
        <w:rPr>
          <w:b/>
          <w:bCs/>
        </w:rPr>
        <w:t xml:space="preserve"> </w:t>
      </w:r>
      <w:r w:rsidR="00427899" w:rsidRPr="002E696A">
        <w:rPr>
          <w:b/>
          <w:bCs/>
        </w:rPr>
        <w:t>time correlation</w:t>
      </w:r>
      <w:r w:rsidR="00F60359">
        <w:rPr>
          <w:b/>
          <w:bCs/>
        </w:rPr>
        <w:t xml:space="preserve">, </w:t>
      </w:r>
      <w:r w:rsidR="00427899" w:rsidRPr="002E696A">
        <w:rPr>
          <w:b/>
          <w:bCs/>
        </w:rPr>
        <w:t>for mobility evaluation</w:t>
      </w:r>
      <w:r w:rsidR="00F74567">
        <w:rPr>
          <w:b/>
          <w:bCs/>
        </w:rPr>
        <w:t>s</w:t>
      </w:r>
      <w:r w:rsidR="00427899" w:rsidRPr="002E696A">
        <w:rPr>
          <w:b/>
          <w:bCs/>
        </w:rPr>
        <w:t>.</w:t>
      </w:r>
      <w:r w:rsidR="005F2D71">
        <w:rPr>
          <w:b/>
          <w:bCs/>
        </w:rPr>
        <w:t xml:space="preserve"> If needed, consult other RAN WGs.</w:t>
      </w:r>
      <w:bookmarkEnd w:id="5"/>
    </w:p>
    <w:p w14:paraId="0ABD88C8" w14:textId="087164BB" w:rsidR="00427899" w:rsidRDefault="00427899" w:rsidP="00943E70">
      <w:r w:rsidRPr="00427899">
        <w:rPr>
          <w:lang w:val="en-US"/>
        </w:rPr>
        <w:t>The s</w:t>
      </w:r>
      <w:r>
        <w:rPr>
          <w:lang w:val="en-US"/>
        </w:rPr>
        <w:t xml:space="preserve">hadow fading and fast fading models of </w:t>
      </w:r>
      <w:hyperlink r:id="rId29" w:history="1">
        <w:r w:rsidR="00C756AA" w:rsidRPr="00C756AA">
          <w:rPr>
            <w:rStyle w:val="Hyperlink"/>
            <w:lang w:eastAsia="zh-CN"/>
          </w:rPr>
          <w:t>TR 38.811</w:t>
        </w:r>
      </w:hyperlink>
      <w:r w:rsidR="00C756AA">
        <w:rPr>
          <w:lang w:eastAsia="zh-CN"/>
        </w:rPr>
        <w:t xml:space="preserve"> </w:t>
      </w:r>
      <w:r>
        <w:fldChar w:fldCharType="begin"/>
      </w:r>
      <w:r>
        <w:instrText xml:space="preserve"> REF _Ref45186589 \r \h </w:instrText>
      </w:r>
      <w:r>
        <w:fldChar w:fldCharType="separate"/>
      </w:r>
      <w:r>
        <w:t>[3]</w:t>
      </w:r>
      <w:r>
        <w:fldChar w:fldCharType="end"/>
      </w:r>
      <w:r>
        <w:t xml:space="preserve"> all depend on the LOS/NLOS state and the elevation angle, see e.g. table 6.6.2-1 </w:t>
      </w:r>
      <w:hyperlink r:id="rId30" w:history="1">
        <w:r w:rsidR="00C756AA" w:rsidRPr="00C756AA">
          <w:rPr>
            <w:rStyle w:val="Hyperlink"/>
            <w:lang w:eastAsia="zh-CN"/>
          </w:rPr>
          <w:t>TR 38.811</w:t>
        </w:r>
      </w:hyperlink>
      <w:r w:rsidR="00C756AA">
        <w:rPr>
          <w:lang w:eastAsia="zh-CN"/>
        </w:rPr>
        <w:t xml:space="preserve"> </w:t>
      </w:r>
      <w:r>
        <w:fldChar w:fldCharType="begin"/>
      </w:r>
      <w:r>
        <w:instrText xml:space="preserve"> REF _Ref45186589 \r \h </w:instrText>
      </w:r>
      <w:r>
        <w:fldChar w:fldCharType="separate"/>
      </w:r>
      <w:r>
        <w:t>[3]</w:t>
      </w:r>
      <w:r>
        <w:fldChar w:fldCharType="end"/>
      </w:r>
      <w:r>
        <w:t xml:space="preserve"> on shadow fading and clutter loss. Similar to the LOS probability model the parameters are given per 10 degree elevation angle. When the elevation angle changes from e.g. 20 degrees to 30 degrees, the parameters of the applied shadow fading and fast fading models need to be updated. The question is whether it is better to abruptly change the parameters or apply a gradual change</w:t>
      </w:r>
      <w:r w:rsidR="00303151">
        <w:t xml:space="preserve"> (as proposed in ITU-R </w:t>
      </w:r>
      <w:r w:rsidR="00303151">
        <w:rPr>
          <w:lang w:val="en-US"/>
        </w:rPr>
        <w:fldChar w:fldCharType="begin"/>
      </w:r>
      <w:r w:rsidR="00303151">
        <w:rPr>
          <w:lang w:val="en-US"/>
        </w:rPr>
        <w:instrText xml:space="preserve"> REF _Ref45187958 \r \h </w:instrText>
      </w:r>
      <w:r w:rsidR="00303151">
        <w:rPr>
          <w:lang w:val="en-US"/>
        </w:rPr>
      </w:r>
      <w:r w:rsidR="00303151">
        <w:rPr>
          <w:lang w:val="en-US"/>
        </w:rPr>
        <w:fldChar w:fldCharType="separate"/>
      </w:r>
      <w:r w:rsidR="00303151">
        <w:rPr>
          <w:lang w:val="en-US"/>
        </w:rPr>
        <w:t>[5]</w:t>
      </w:r>
      <w:r w:rsidR="00303151">
        <w:rPr>
          <w:lang w:val="en-US"/>
        </w:rPr>
        <w:fldChar w:fldCharType="end"/>
      </w:r>
      <w:r w:rsidR="00303151">
        <w:rPr>
          <w:lang w:val="en-US"/>
        </w:rPr>
        <w:t>)</w:t>
      </w:r>
      <w:r w:rsidR="00303151">
        <w:t xml:space="preserve"> </w:t>
      </w:r>
      <w:r>
        <w:t xml:space="preserve">. For example, filtering could be applied to weigh each parameter </w:t>
      </w:r>
      <w:r w:rsidR="00821997">
        <w:t xml:space="preserve">H </w:t>
      </w:r>
      <w:r>
        <w:t>as follows</w:t>
      </w:r>
      <w:r w:rsidR="00F0659D">
        <w:t xml:space="preserve"> (H</w:t>
      </w:r>
      <w:r w:rsidR="00F0659D" w:rsidRPr="002E696A">
        <w:rPr>
          <w:vertAlign w:val="subscript"/>
        </w:rPr>
        <w:t>Nearest</w:t>
      </w:r>
      <w:r w:rsidR="00F0659D">
        <w:t xml:space="preserve"> refers to the </w:t>
      </w:r>
      <w:r w:rsidR="00C85718">
        <w:t xml:space="preserve">nearest </w:t>
      </w:r>
      <w:r w:rsidR="00B914C0">
        <w:t>value</w:t>
      </w:r>
      <w:r w:rsidR="00C85718">
        <w:t xml:space="preserve"> in the </w:t>
      </w:r>
      <w:r w:rsidR="00870A22">
        <w:t>table</w:t>
      </w:r>
      <w:r w:rsidR="00CB0A1A">
        <w:t>s</w:t>
      </w:r>
      <w:r w:rsidR="00870A22">
        <w:t xml:space="preserve"> of </w:t>
      </w:r>
      <w:hyperlink r:id="rId31" w:history="1">
        <w:r w:rsidR="00C756AA" w:rsidRPr="00C756AA">
          <w:rPr>
            <w:rStyle w:val="Hyperlink"/>
            <w:lang w:eastAsia="zh-CN"/>
          </w:rPr>
          <w:t>TR 38.811</w:t>
        </w:r>
      </w:hyperlink>
      <w:r w:rsidR="00C756AA">
        <w:rPr>
          <w:lang w:eastAsia="zh-CN"/>
        </w:rPr>
        <w:t xml:space="preserve"> </w:t>
      </w:r>
      <w:r w:rsidR="006C2579">
        <w:fldChar w:fldCharType="begin"/>
      </w:r>
      <w:r w:rsidR="006C2579">
        <w:instrText xml:space="preserve"> REF _Ref45186589 \r \h </w:instrText>
      </w:r>
      <w:r w:rsidR="006C2579">
        <w:fldChar w:fldCharType="separate"/>
      </w:r>
      <w:r w:rsidR="006C2579">
        <w:t>[3]</w:t>
      </w:r>
      <w:r w:rsidR="006C2579">
        <w:fldChar w:fldCharType="end"/>
      </w:r>
      <w:r w:rsidR="00CB0A1A">
        <w:t xml:space="preserve">, e.g. </w:t>
      </w:r>
      <w:r w:rsidR="009F4A3C">
        <w:t>the shadow fadin</w:t>
      </w:r>
      <w:r w:rsidR="00AF6F55">
        <w:t>g variance</w:t>
      </w:r>
      <w:r w:rsidR="008657FC">
        <w:t xml:space="preserve"> of table </w:t>
      </w:r>
      <w:r w:rsidR="000C0316">
        <w:t>6.6.2-1</w:t>
      </w:r>
      <w:r w:rsidR="006A1686">
        <w:t>, having a 10 degrees granularity, and H</w:t>
      </w:r>
      <w:r w:rsidR="006A1686" w:rsidRPr="002E696A">
        <w:rPr>
          <w:vertAlign w:val="subscript"/>
        </w:rPr>
        <w:t>SecondNearest</w:t>
      </w:r>
      <w:r w:rsidR="006A1686">
        <w:t xml:space="preserve"> is the second nearest value of the same table</w:t>
      </w:r>
      <w:r w:rsidR="00792C10">
        <w:t>)</w:t>
      </w:r>
      <w:r>
        <w:t>:</w:t>
      </w:r>
    </w:p>
    <w:p w14:paraId="4711B69C" w14:textId="2457D7F4" w:rsidR="00427899" w:rsidRPr="00821997" w:rsidRDefault="00267789" w:rsidP="00943E70">
      <m:oMathPara>
        <m:oMath>
          <m:r>
            <w:rPr>
              <w:rFonts w:ascii="Cambria Math" w:hAnsi="Cambria Math"/>
            </w:rPr>
            <m:t>H=</m:t>
          </m:r>
          <m:sSub>
            <m:sSubPr>
              <m:ctrlPr>
                <w:rPr>
                  <w:rFonts w:ascii="Cambria Math" w:hAnsi="Cambria Math"/>
                  <w:i/>
                </w:rPr>
              </m:ctrlPr>
            </m:sSubPr>
            <m:e>
              <m:r>
                <w:rPr>
                  <w:rFonts w:ascii="Cambria Math" w:hAnsi="Cambria Math"/>
                </w:rPr>
                <m:t>H</m:t>
              </m:r>
            </m:e>
            <m:sub>
              <m:r>
                <w:rPr>
                  <w:rFonts w:ascii="Cambria Math" w:hAnsi="Cambria Math"/>
                </w:rPr>
                <m:t>Nearest</m:t>
              </m:r>
            </m:sub>
          </m:sSub>
          <m:r>
            <w:rPr>
              <w:rFonts w:ascii="Cambria Math" w:hAnsi="Cambria Math"/>
            </w:rPr>
            <m:t>∙</m:t>
          </m:r>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r>
                    <w:rPr>
                      <w:rFonts w:ascii="Cambria Math" w:hAnsi="Cambria Math"/>
                    </w:rPr>
                    <m:t>degreesToNearest</m:t>
                  </m:r>
                </m:num>
                <m:den>
                  <m:r>
                    <w:rPr>
                      <w:rFonts w:ascii="Cambria Math" w:hAnsi="Cambria Math"/>
                    </w:rPr>
                    <m:t>10</m:t>
                  </m:r>
                </m:den>
              </m:f>
            </m:e>
          </m:ra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SecondNearest</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degreesToNearest</m:t>
                  </m:r>
                </m:num>
                <m:den>
                  <m:r>
                    <w:rPr>
                      <w:rFonts w:ascii="Cambria Math" w:hAnsi="Cambria Math"/>
                    </w:rPr>
                    <m:t>10</m:t>
                  </m:r>
                </m:den>
              </m:f>
            </m:e>
          </m:rad>
        </m:oMath>
      </m:oMathPara>
    </w:p>
    <w:p w14:paraId="4311626C" w14:textId="4BDB111D" w:rsidR="00821997" w:rsidRDefault="00821997" w:rsidP="00821997">
      <w:r>
        <w:t>Below is an illustrative example for the case of a 83 degree elevation angle i.e. degreesToNearest=3.</w:t>
      </w:r>
    </w:p>
    <w:p w14:paraId="65AF08CE" w14:textId="76CD7513" w:rsidR="00821997" w:rsidRPr="00821997" w:rsidRDefault="00821997" w:rsidP="00821997">
      <m:oMathPara>
        <m:oMath>
          <m:r>
            <w:rPr>
              <w:rFonts w:ascii="Cambria Math" w:hAnsi="Cambria Math"/>
            </w:rPr>
            <m:t>H(83 degrees)=</m:t>
          </m:r>
          <m:sSub>
            <m:sSubPr>
              <m:ctrlPr>
                <w:rPr>
                  <w:rFonts w:ascii="Cambria Math" w:hAnsi="Cambria Math"/>
                  <w:i/>
                </w:rPr>
              </m:ctrlPr>
            </m:sSubPr>
            <m:e>
              <m:r>
                <w:rPr>
                  <w:rFonts w:ascii="Cambria Math" w:hAnsi="Cambria Math"/>
                </w:rPr>
                <m:t>H</m:t>
              </m:r>
            </m:e>
            <m:sub>
              <m:r>
                <w:rPr>
                  <w:rFonts w:ascii="Cambria Math" w:hAnsi="Cambria Math"/>
                </w:rPr>
                <m:t>80</m:t>
              </m:r>
            </m:sub>
          </m:sSub>
          <m:r>
            <w:rPr>
              <w:rFonts w:ascii="Cambria Math" w:hAnsi="Cambria Math"/>
            </w:rPr>
            <m:t>∙</m:t>
          </m:r>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r>
                    <w:rPr>
                      <w:rFonts w:ascii="Cambria Math" w:hAnsi="Cambria Math"/>
                    </w:rPr>
                    <m:t>3</m:t>
                  </m:r>
                </m:num>
                <m:den>
                  <m:r>
                    <w:rPr>
                      <w:rFonts w:ascii="Cambria Math" w:hAnsi="Cambria Math"/>
                    </w:rPr>
                    <m:t>10</m:t>
                  </m:r>
                </m:den>
              </m:f>
            </m:e>
          </m:ra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90</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3</m:t>
                  </m:r>
                </m:num>
                <m:den>
                  <m:r>
                    <w:rPr>
                      <w:rFonts w:ascii="Cambria Math" w:hAnsi="Cambria Math"/>
                    </w:rPr>
                    <m:t>10</m:t>
                  </m:r>
                </m:den>
              </m:f>
            </m:e>
          </m:rad>
        </m:oMath>
      </m:oMathPara>
    </w:p>
    <w:p w14:paraId="59045FB7" w14:textId="7866C257" w:rsidR="00821997" w:rsidRPr="002E696A" w:rsidRDefault="00821997" w:rsidP="002E696A">
      <w:pPr>
        <w:pStyle w:val="ListParagraph"/>
        <w:numPr>
          <w:ilvl w:val="0"/>
          <w:numId w:val="14"/>
        </w:numPr>
        <w:ind w:left="1418" w:hanging="1058"/>
        <w:rPr>
          <w:b/>
          <w:bCs/>
        </w:rPr>
      </w:pPr>
      <w:bookmarkStart w:id="6" w:name="_Ref47608861"/>
      <w:r w:rsidRPr="002E696A">
        <w:rPr>
          <w:b/>
          <w:bCs/>
        </w:rPr>
        <w:t xml:space="preserve">RAN2 to discuss how </w:t>
      </w:r>
      <w:r w:rsidR="00B3077B" w:rsidRPr="002E696A">
        <w:rPr>
          <w:b/>
          <w:bCs/>
        </w:rPr>
        <w:t>the shadow fading and fast fading</w:t>
      </w:r>
      <w:r w:rsidR="00B3077B">
        <w:t xml:space="preserve"> </w:t>
      </w:r>
      <w:r w:rsidRPr="002E696A">
        <w:rPr>
          <w:b/>
          <w:bCs/>
        </w:rPr>
        <w:t>channel model parameters can be gradually change</w:t>
      </w:r>
      <w:r w:rsidR="00B34167" w:rsidRPr="002E696A">
        <w:rPr>
          <w:b/>
          <w:bCs/>
        </w:rPr>
        <w:t>d</w:t>
      </w:r>
      <w:r w:rsidRPr="002E696A">
        <w:rPr>
          <w:b/>
          <w:bCs/>
        </w:rPr>
        <w:t xml:space="preserve"> as a function of </w:t>
      </w:r>
      <w:r w:rsidR="00B3077B" w:rsidRPr="002E696A">
        <w:rPr>
          <w:b/>
          <w:bCs/>
        </w:rPr>
        <w:t xml:space="preserve">satellite </w:t>
      </w:r>
      <w:r w:rsidRPr="002E696A">
        <w:rPr>
          <w:b/>
          <w:bCs/>
        </w:rPr>
        <w:t>elevation angle.</w:t>
      </w:r>
      <w:bookmarkEnd w:id="6"/>
    </w:p>
    <w:p w14:paraId="6861FAE9" w14:textId="77777777" w:rsidR="003C285D" w:rsidRPr="00821997" w:rsidRDefault="003C285D" w:rsidP="00943E70">
      <w:pPr>
        <w:rPr>
          <w:b/>
          <w:bCs/>
        </w:rPr>
      </w:pPr>
    </w:p>
    <w:p w14:paraId="16C054D4" w14:textId="123424AB" w:rsidR="00846011" w:rsidRPr="006E13D1" w:rsidRDefault="00846011" w:rsidP="00846011">
      <w:pPr>
        <w:pStyle w:val="Heading2"/>
      </w:pPr>
      <w:r>
        <w:t>2</w:t>
      </w:r>
      <w:r w:rsidRPr="006E13D1">
        <w:t>.</w:t>
      </w:r>
      <w:r>
        <w:t>2</w:t>
      </w:r>
      <w:r w:rsidRPr="006E13D1">
        <w:tab/>
      </w:r>
      <w:r>
        <w:t>Constellation aspects</w:t>
      </w:r>
    </w:p>
    <w:p w14:paraId="5D556471" w14:textId="4B7CF9B2" w:rsidR="00846011" w:rsidRDefault="00846011" w:rsidP="00846011">
      <w:r>
        <w:t xml:space="preserve">The technical report </w:t>
      </w:r>
      <w:hyperlink r:id="rId32" w:history="1">
        <w:r w:rsidR="00EE67B0" w:rsidRPr="00C756AA">
          <w:rPr>
            <w:rStyle w:val="Hyperlink"/>
            <w:lang w:eastAsia="zh-CN"/>
          </w:rPr>
          <w:t>TR 38.811</w:t>
        </w:r>
      </w:hyperlink>
      <w:r w:rsidR="00EE67B0">
        <w:rPr>
          <w:lang w:eastAsia="zh-CN"/>
        </w:rPr>
        <w:t xml:space="preserve"> </w:t>
      </w:r>
      <w:r w:rsidR="00684613">
        <w:fldChar w:fldCharType="begin"/>
      </w:r>
      <w:r w:rsidR="00684613">
        <w:instrText xml:space="preserve"> REF _Ref45186589 \r \h </w:instrText>
      </w:r>
      <w:r w:rsidR="00684613">
        <w:fldChar w:fldCharType="separate"/>
      </w:r>
      <w:r w:rsidR="00684613">
        <w:t>[3]</w:t>
      </w:r>
      <w:r w:rsidR="00684613">
        <w:fldChar w:fldCharType="end"/>
      </w:r>
      <w:r w:rsidR="00684613">
        <w:t xml:space="preserve"> </w:t>
      </w:r>
      <w:r>
        <w:t>contains a section 6.1.4 on “multiple satellites simulation” proposing two options:</w:t>
      </w:r>
    </w:p>
    <w:p w14:paraId="2FFB250F" w14:textId="77777777" w:rsidR="00846011" w:rsidRPr="00B923D6" w:rsidRDefault="00846011" w:rsidP="00846011">
      <w:pPr>
        <w:pStyle w:val="B1"/>
        <w:numPr>
          <w:ilvl w:val="0"/>
          <w:numId w:val="10"/>
        </w:numPr>
        <w:rPr>
          <w:rFonts w:eastAsia="Calibri"/>
        </w:rPr>
      </w:pPr>
      <w:r w:rsidRPr="00B923D6">
        <w:rPr>
          <w:rFonts w:eastAsia="Calibri"/>
        </w:rPr>
        <w:t>Option-1: simulation based on the reference constellation</w:t>
      </w:r>
    </w:p>
    <w:p w14:paraId="50C97A67" w14:textId="77777777" w:rsidR="00846011" w:rsidRPr="00B923D6" w:rsidRDefault="00846011" w:rsidP="00846011">
      <w:pPr>
        <w:pStyle w:val="B1"/>
        <w:numPr>
          <w:ilvl w:val="0"/>
          <w:numId w:val="10"/>
        </w:numPr>
        <w:rPr>
          <w:rFonts w:eastAsia="Calibri"/>
        </w:rPr>
      </w:pPr>
      <w:r w:rsidRPr="00B923D6">
        <w:rPr>
          <w:rFonts w:eastAsia="Calibri"/>
        </w:rPr>
        <w:t>Option-2: simulation based on the regional beam layouts for multiple satellites</w:t>
      </w:r>
    </w:p>
    <w:p w14:paraId="1EAF4567" w14:textId="73E83911" w:rsidR="00A76C34" w:rsidRDefault="00846011" w:rsidP="00846011">
      <w:r>
        <w:lastRenderedPageBreak/>
        <w:t xml:space="preserve">As a starting point it is important for RAN2 to agree on what option to use for </w:t>
      </w:r>
      <w:r w:rsidR="00552253">
        <w:t xml:space="preserve">potential </w:t>
      </w:r>
      <w:r>
        <w:t xml:space="preserve">system level </w:t>
      </w:r>
      <w:r w:rsidR="00552253">
        <w:t xml:space="preserve">mobility </w:t>
      </w:r>
      <w:r>
        <w:t>evaluations.</w:t>
      </w:r>
      <w:r w:rsidR="009022F7">
        <w:t xml:space="preserve"> </w:t>
      </w:r>
      <w:r w:rsidR="00552253">
        <w:t xml:space="preserve">The existing evaluation/calibration scenarios in </w:t>
      </w:r>
      <w:hyperlink r:id="rId33" w:history="1">
        <w:r w:rsidR="00C756AA" w:rsidRPr="00C756AA">
          <w:rPr>
            <w:rStyle w:val="Hyperlink"/>
            <w:lang w:eastAsia="zh-CN"/>
          </w:rPr>
          <w:t>TR 38.8</w:t>
        </w:r>
        <w:r w:rsidR="00A03C91">
          <w:rPr>
            <w:rStyle w:val="Hyperlink"/>
            <w:lang w:eastAsia="zh-CN"/>
          </w:rPr>
          <w:t>2</w:t>
        </w:r>
        <w:r w:rsidR="00C756AA" w:rsidRPr="00C756AA">
          <w:rPr>
            <w:rStyle w:val="Hyperlink"/>
            <w:lang w:eastAsia="zh-CN"/>
          </w:rPr>
          <w:t>1</w:t>
        </w:r>
      </w:hyperlink>
      <w:r w:rsidR="00B15CCF">
        <w:rPr>
          <w:lang w:eastAsia="zh-CN"/>
        </w:rPr>
        <w:t xml:space="preserve"> </w:t>
      </w:r>
      <w:r w:rsidR="00B15CCF">
        <w:rPr>
          <w:lang w:eastAsia="zh-CN"/>
        </w:rPr>
        <w:fldChar w:fldCharType="begin"/>
      </w:r>
      <w:r w:rsidR="00B15CCF">
        <w:rPr>
          <w:lang w:eastAsia="zh-CN"/>
        </w:rPr>
        <w:instrText xml:space="preserve"> REF _Ref45185621 \r \h </w:instrText>
      </w:r>
      <w:r w:rsidR="00B15CCF">
        <w:rPr>
          <w:lang w:eastAsia="zh-CN"/>
        </w:rPr>
      </w:r>
      <w:r w:rsidR="00B15CCF">
        <w:rPr>
          <w:lang w:eastAsia="zh-CN"/>
        </w:rPr>
        <w:fldChar w:fldCharType="separate"/>
      </w:r>
      <w:r w:rsidR="00B15CCF">
        <w:rPr>
          <w:lang w:eastAsia="zh-CN"/>
        </w:rPr>
        <w:t>[2]</w:t>
      </w:r>
      <w:r w:rsidR="00B15CCF">
        <w:rPr>
          <w:lang w:eastAsia="zh-CN"/>
        </w:rPr>
        <w:fldChar w:fldCharType="end"/>
      </w:r>
      <w:r w:rsidR="00552253">
        <w:rPr>
          <w:lang w:eastAsia="zh-CN"/>
        </w:rPr>
        <w:t xml:space="preserve"> </w:t>
      </w:r>
      <w:r w:rsidR="00552253">
        <w:t xml:space="preserve">used in RAN1 studies are to be used as starting point. The general idea for the RAN2 related updates is to keep the reference scenario definition(s) general enough such that all practical satellite constellations (existing or new) are covered. </w:t>
      </w:r>
      <w:r w:rsidR="0041046F">
        <w:t>Furthermore, the general modelling approach would need</w:t>
      </w:r>
      <w:r w:rsidR="00D40748">
        <w:t xml:space="preserve"> to</w:t>
      </w:r>
      <w:r w:rsidR="0041046F">
        <w:t xml:space="preserve"> cover the needs for mobility evaluations in both earth-moving and earth-fixed cells scenarios.</w:t>
      </w:r>
    </w:p>
    <w:p w14:paraId="0F063AD3" w14:textId="5D25D312" w:rsidR="00CE0516" w:rsidRDefault="00CE0516" w:rsidP="00CE0516">
      <w:r>
        <w:t xml:space="preserve">For </w:t>
      </w:r>
      <w:r w:rsidR="00CA051B">
        <w:t>s</w:t>
      </w:r>
      <w:r>
        <w:t>electing a</w:t>
      </w:r>
      <w:r w:rsidR="00D42708">
        <w:t xml:space="preserve"> modelling</w:t>
      </w:r>
      <w:r>
        <w:t xml:space="preserve"> approach to the multiple satellite simulation</w:t>
      </w:r>
      <w:r w:rsidR="00512F78">
        <w:t>s,</w:t>
      </w:r>
      <w:r>
        <w:t xml:space="preserve"> it will be important to agree on the main scenario parameters based on the existing </w:t>
      </w:r>
      <w:hyperlink r:id="rId34" w:history="1">
        <w:r w:rsidR="00C756AA" w:rsidRPr="00C756AA">
          <w:rPr>
            <w:rStyle w:val="Hyperlink"/>
            <w:lang w:eastAsia="zh-CN"/>
          </w:rPr>
          <w:t>TR 38.811</w:t>
        </w:r>
      </w:hyperlink>
      <w:r w:rsidR="00684613">
        <w:rPr>
          <w:lang w:eastAsia="zh-CN"/>
        </w:rPr>
        <w:t xml:space="preserve"> </w:t>
      </w:r>
      <w:r w:rsidR="00684613">
        <w:fldChar w:fldCharType="begin"/>
      </w:r>
      <w:r w:rsidR="00684613">
        <w:instrText xml:space="preserve"> REF _Ref45186589 \r \h </w:instrText>
      </w:r>
      <w:r w:rsidR="00684613">
        <w:fldChar w:fldCharType="separate"/>
      </w:r>
      <w:r w:rsidR="00684613">
        <w:t>[3]</w:t>
      </w:r>
      <w:r w:rsidR="00684613">
        <w:fldChar w:fldCharType="end"/>
      </w:r>
      <w:r w:rsidR="00702492">
        <w:t xml:space="preserve"> </w:t>
      </w:r>
      <w:r w:rsidR="003465E8">
        <w:t>scenarios</w:t>
      </w:r>
      <w:r>
        <w:t xml:space="preserve">: </w:t>
      </w:r>
    </w:p>
    <w:p w14:paraId="7D0B6A6B" w14:textId="67E6B1AB" w:rsidR="00CE0516" w:rsidRDefault="00CE0516" w:rsidP="00CE0516">
      <w:pPr>
        <w:pStyle w:val="ListParagraph"/>
        <w:numPr>
          <w:ilvl w:val="0"/>
          <w:numId w:val="12"/>
        </w:numPr>
        <w:rPr>
          <w:rFonts w:ascii="Times New Roman" w:hAnsi="Times New Roman"/>
          <w:sz w:val="20"/>
          <w:szCs w:val="20"/>
        </w:rPr>
      </w:pPr>
      <w:r>
        <w:rPr>
          <w:rFonts w:ascii="Times New Roman" w:hAnsi="Times New Roman"/>
          <w:sz w:val="20"/>
          <w:szCs w:val="20"/>
        </w:rPr>
        <w:t>the number of orbits</w:t>
      </w:r>
      <w:r w:rsidR="007348A9">
        <w:rPr>
          <w:rFonts w:ascii="Times New Roman" w:hAnsi="Times New Roman"/>
          <w:sz w:val="20"/>
          <w:szCs w:val="20"/>
        </w:rPr>
        <w:t>,</w:t>
      </w:r>
    </w:p>
    <w:p w14:paraId="39FE8CCC" w14:textId="437E8E42" w:rsidR="00CE0516" w:rsidRPr="00846011" w:rsidRDefault="00CE0516" w:rsidP="00CE0516">
      <w:pPr>
        <w:pStyle w:val="ListParagraph"/>
        <w:numPr>
          <w:ilvl w:val="0"/>
          <w:numId w:val="12"/>
        </w:numPr>
        <w:rPr>
          <w:rFonts w:ascii="Times New Roman" w:hAnsi="Times New Roman"/>
          <w:sz w:val="20"/>
          <w:szCs w:val="20"/>
        </w:rPr>
      </w:pPr>
      <w:r w:rsidRPr="00846011">
        <w:rPr>
          <w:rFonts w:ascii="Times New Roman" w:hAnsi="Times New Roman"/>
          <w:sz w:val="20"/>
          <w:szCs w:val="20"/>
        </w:rPr>
        <w:t xml:space="preserve">the number of </w:t>
      </w:r>
      <w:r>
        <w:rPr>
          <w:rFonts w:ascii="Times New Roman" w:hAnsi="Times New Roman"/>
          <w:sz w:val="20"/>
          <w:szCs w:val="20"/>
        </w:rPr>
        <w:t xml:space="preserve">consecutively placed </w:t>
      </w:r>
      <w:r w:rsidRPr="00846011">
        <w:rPr>
          <w:rFonts w:ascii="Times New Roman" w:hAnsi="Times New Roman"/>
          <w:sz w:val="20"/>
          <w:szCs w:val="20"/>
        </w:rPr>
        <w:t>satellites</w:t>
      </w:r>
      <w:r>
        <w:rPr>
          <w:rFonts w:ascii="Times New Roman" w:hAnsi="Times New Roman"/>
          <w:sz w:val="20"/>
          <w:szCs w:val="20"/>
        </w:rPr>
        <w:t xml:space="preserve"> </w:t>
      </w:r>
      <w:r w:rsidR="00783C0C">
        <w:rPr>
          <w:rFonts w:ascii="Times New Roman" w:hAnsi="Times New Roman"/>
          <w:sz w:val="20"/>
          <w:szCs w:val="20"/>
        </w:rPr>
        <w:t>on</w:t>
      </w:r>
      <w:r>
        <w:rPr>
          <w:rFonts w:ascii="Times New Roman" w:hAnsi="Times New Roman"/>
          <w:sz w:val="20"/>
          <w:szCs w:val="20"/>
        </w:rPr>
        <w:t xml:space="preserve"> orbit to be evaluated</w:t>
      </w:r>
      <w:r w:rsidR="00783C0C">
        <w:rPr>
          <w:rFonts w:ascii="Times New Roman" w:hAnsi="Times New Roman"/>
          <w:sz w:val="20"/>
          <w:szCs w:val="20"/>
        </w:rPr>
        <w:t xml:space="preserve"> (</w:t>
      </w:r>
      <w:r w:rsidR="00442891">
        <w:rPr>
          <w:rFonts w:ascii="Times New Roman" w:hAnsi="Times New Roman"/>
          <w:sz w:val="20"/>
          <w:szCs w:val="20"/>
        </w:rPr>
        <w:t xml:space="preserve">and the </w:t>
      </w:r>
      <w:r w:rsidR="00783C0C">
        <w:rPr>
          <w:rFonts w:ascii="Times New Roman" w:hAnsi="Times New Roman"/>
          <w:sz w:val="20"/>
          <w:szCs w:val="20"/>
        </w:rPr>
        <w:t>inter-satellite distance)</w:t>
      </w:r>
      <w:r w:rsidR="007348A9">
        <w:rPr>
          <w:rFonts w:ascii="Times New Roman" w:hAnsi="Times New Roman"/>
          <w:sz w:val="20"/>
          <w:szCs w:val="20"/>
        </w:rPr>
        <w:t>,</w:t>
      </w:r>
    </w:p>
    <w:p w14:paraId="756C46BF" w14:textId="183ACCE2" w:rsidR="00CE0516" w:rsidRDefault="00CE0516" w:rsidP="00CE0516">
      <w:pPr>
        <w:pStyle w:val="ListParagraph"/>
        <w:numPr>
          <w:ilvl w:val="0"/>
          <w:numId w:val="12"/>
        </w:numPr>
        <w:rPr>
          <w:rFonts w:ascii="Times New Roman" w:hAnsi="Times New Roman"/>
          <w:sz w:val="20"/>
          <w:szCs w:val="20"/>
        </w:rPr>
      </w:pPr>
      <w:r w:rsidRPr="00846011">
        <w:rPr>
          <w:rFonts w:ascii="Times New Roman" w:hAnsi="Times New Roman"/>
          <w:sz w:val="20"/>
          <w:szCs w:val="20"/>
        </w:rPr>
        <w:t>number of beams per satellite</w:t>
      </w:r>
      <w:r w:rsidR="007348A9">
        <w:rPr>
          <w:rFonts w:ascii="Times New Roman" w:hAnsi="Times New Roman"/>
          <w:sz w:val="20"/>
          <w:szCs w:val="20"/>
        </w:rPr>
        <w:t>,</w:t>
      </w:r>
    </w:p>
    <w:p w14:paraId="55E30904" w14:textId="22676226" w:rsidR="00CE0516" w:rsidRPr="00846011" w:rsidRDefault="00CE0516" w:rsidP="00CE0516">
      <w:pPr>
        <w:pStyle w:val="ListParagraph"/>
        <w:numPr>
          <w:ilvl w:val="0"/>
          <w:numId w:val="12"/>
        </w:numPr>
        <w:rPr>
          <w:rFonts w:ascii="Times New Roman" w:hAnsi="Times New Roman"/>
          <w:sz w:val="20"/>
          <w:szCs w:val="20"/>
        </w:rPr>
      </w:pPr>
      <w:r>
        <w:rPr>
          <w:rFonts w:ascii="Times New Roman" w:hAnsi="Times New Roman"/>
          <w:sz w:val="20"/>
          <w:szCs w:val="20"/>
        </w:rPr>
        <w:t>beam footprint size (cell di</w:t>
      </w:r>
      <w:r w:rsidR="00566E28">
        <w:rPr>
          <w:rFonts w:ascii="Times New Roman" w:hAnsi="Times New Roman"/>
          <w:sz w:val="20"/>
          <w:szCs w:val="20"/>
        </w:rPr>
        <w:t>a</w:t>
      </w:r>
      <w:r>
        <w:rPr>
          <w:rFonts w:ascii="Times New Roman" w:hAnsi="Times New Roman"/>
          <w:sz w:val="20"/>
          <w:szCs w:val="20"/>
        </w:rPr>
        <w:t>meter)</w:t>
      </w:r>
      <w:r w:rsidR="000F27DA">
        <w:rPr>
          <w:rFonts w:ascii="Times New Roman" w:hAnsi="Times New Roman"/>
          <w:sz w:val="20"/>
          <w:szCs w:val="20"/>
        </w:rPr>
        <w:t>, assumed to have no beam pointing error</w:t>
      </w:r>
      <w:r w:rsidR="007348A9">
        <w:rPr>
          <w:rFonts w:ascii="Times New Roman" w:hAnsi="Times New Roman"/>
          <w:sz w:val="20"/>
          <w:szCs w:val="20"/>
        </w:rPr>
        <w:t>,</w:t>
      </w:r>
    </w:p>
    <w:p w14:paraId="01DDD392" w14:textId="44120E6C" w:rsidR="00CE0516" w:rsidRPr="00846011" w:rsidRDefault="00CE0516" w:rsidP="00CE0516">
      <w:pPr>
        <w:pStyle w:val="ListParagraph"/>
        <w:numPr>
          <w:ilvl w:val="0"/>
          <w:numId w:val="12"/>
        </w:numPr>
        <w:rPr>
          <w:rFonts w:ascii="Times New Roman" w:hAnsi="Times New Roman"/>
          <w:sz w:val="20"/>
          <w:szCs w:val="20"/>
        </w:rPr>
      </w:pPr>
      <w:r w:rsidRPr="00846011">
        <w:rPr>
          <w:rFonts w:ascii="Times New Roman" w:hAnsi="Times New Roman"/>
          <w:sz w:val="20"/>
          <w:szCs w:val="20"/>
        </w:rPr>
        <w:t xml:space="preserve">frequency re-use factor </w:t>
      </w:r>
      <w:r>
        <w:rPr>
          <w:rFonts w:ascii="Times New Roman" w:hAnsi="Times New Roman"/>
          <w:sz w:val="20"/>
          <w:szCs w:val="20"/>
        </w:rPr>
        <w:t>pattern</w:t>
      </w:r>
      <w:r w:rsidR="007348A9">
        <w:rPr>
          <w:rFonts w:ascii="Times New Roman" w:hAnsi="Times New Roman"/>
          <w:sz w:val="20"/>
          <w:szCs w:val="20"/>
        </w:rPr>
        <w:t>,</w:t>
      </w:r>
    </w:p>
    <w:p w14:paraId="6356D44B" w14:textId="42E820C0" w:rsidR="00CA051B" w:rsidRPr="00C5545F" w:rsidRDefault="00CE0516" w:rsidP="002E696A">
      <w:pPr>
        <w:pStyle w:val="ListParagraph"/>
        <w:numPr>
          <w:ilvl w:val="0"/>
          <w:numId w:val="12"/>
        </w:numPr>
      </w:pPr>
      <w:r>
        <w:rPr>
          <w:rFonts w:ascii="Times New Roman" w:hAnsi="Times New Roman"/>
          <w:sz w:val="20"/>
          <w:szCs w:val="20"/>
        </w:rPr>
        <w:t>wrap-round model.</w:t>
      </w:r>
    </w:p>
    <w:p w14:paraId="4E569377" w14:textId="0B0F4140" w:rsidR="00552253" w:rsidRDefault="00552253" w:rsidP="00846011">
      <w:r>
        <w:t xml:space="preserve">Option-1 </w:t>
      </w:r>
      <w:r w:rsidR="00CA051B">
        <w:t xml:space="preserve">potentially </w:t>
      </w:r>
      <w:r>
        <w:t>requires an entire constellation</w:t>
      </w:r>
      <w:r w:rsidR="00722BFD">
        <w:t xml:space="preserve"> </w:t>
      </w:r>
      <w:r w:rsidR="00CA051B">
        <w:t>to be specified,</w:t>
      </w:r>
      <w:r>
        <w:t xml:space="preserve"> </w:t>
      </w:r>
      <w:r w:rsidR="00902B60">
        <w:t>with several 10’s of orbits and 10’s of satellites per orbit</w:t>
      </w:r>
      <w:r>
        <w:t xml:space="preserve">. </w:t>
      </w:r>
      <w:r w:rsidR="007348A9">
        <w:t xml:space="preserve">This might lead to a less general reference simulation scenario. </w:t>
      </w:r>
      <w:r w:rsidR="00722BFD">
        <w:t>Option-2</w:t>
      </w:r>
      <w:r w:rsidR="00902B60">
        <w:t xml:space="preserve"> reduces the scenario complexity by only considering local layout of the satellite beams from </w:t>
      </w:r>
      <w:r w:rsidR="00CA051B">
        <w:t xml:space="preserve">a couple of </w:t>
      </w:r>
      <w:r w:rsidR="00902B60">
        <w:t>satellites on the same or adjacent orbits.</w:t>
      </w:r>
      <w:r w:rsidR="007348A9">
        <w:t xml:space="preserve"> This approach is closer to the existing RAN1 scenarios in </w:t>
      </w:r>
      <w:hyperlink r:id="rId35" w:history="1">
        <w:r w:rsidR="00C756AA" w:rsidRPr="00C756AA">
          <w:rPr>
            <w:rStyle w:val="Hyperlink"/>
            <w:lang w:eastAsia="zh-CN"/>
          </w:rPr>
          <w:t>TR 38.811</w:t>
        </w:r>
      </w:hyperlink>
      <w:r w:rsidR="00684613">
        <w:rPr>
          <w:lang w:eastAsia="zh-CN"/>
        </w:rPr>
        <w:t xml:space="preserve"> </w:t>
      </w:r>
      <w:r w:rsidR="00684613">
        <w:fldChar w:fldCharType="begin"/>
      </w:r>
      <w:r w:rsidR="00684613">
        <w:instrText xml:space="preserve"> REF _Ref45186589 \r \h </w:instrText>
      </w:r>
      <w:r w:rsidR="00684613">
        <w:fldChar w:fldCharType="separate"/>
      </w:r>
      <w:r w:rsidR="00684613">
        <w:t>[3]</w:t>
      </w:r>
      <w:r w:rsidR="00684613">
        <w:fldChar w:fldCharType="end"/>
      </w:r>
      <w:r w:rsidR="00D62080">
        <w:t>,</w:t>
      </w:r>
      <w:r w:rsidR="007348A9">
        <w:t xml:space="preserve"> and can be used as basis for the multiple satellite scenario definitions.</w:t>
      </w:r>
    </w:p>
    <w:p w14:paraId="0D686DFA" w14:textId="4CBA8727" w:rsidR="00CE0516" w:rsidRPr="002E696A" w:rsidRDefault="007348A9" w:rsidP="00846011">
      <w:r>
        <w:t>A</w:t>
      </w:r>
      <w:r w:rsidR="004A4890">
        <w:t xml:space="preserve">s </w:t>
      </w:r>
      <w:r w:rsidR="00A76C34">
        <w:t xml:space="preserve">a combination of the Option-1 and Option-2 approaches, the reference constellation </w:t>
      </w:r>
      <w:r w:rsidR="004A4890">
        <w:t xml:space="preserve">to be used in RAN2 mobility studies </w:t>
      </w:r>
      <w:r w:rsidR="00A76C34">
        <w:t xml:space="preserve">could be defined </w:t>
      </w:r>
      <w:r w:rsidR="00015B7A">
        <w:t>as</w:t>
      </w:r>
      <w:r w:rsidR="00A76C34">
        <w:t xml:space="preserve"> one satellite orbit, with 2 or 3 </w:t>
      </w:r>
      <w:r w:rsidR="00015B7A">
        <w:t xml:space="preserve">consecutive </w:t>
      </w:r>
      <w:r w:rsidR="00A76C34">
        <w:t xml:space="preserve">satellites </w:t>
      </w:r>
      <w:r>
        <w:t xml:space="preserve">evaluated </w:t>
      </w:r>
      <w:r w:rsidR="00A76C34">
        <w:t>only, each satellite having a certain beam layout</w:t>
      </w:r>
      <w:r w:rsidR="0033260E">
        <w:t xml:space="preserve">, </w:t>
      </w:r>
      <w:r w:rsidR="002613CB">
        <w:t xml:space="preserve">beam footprint size (cell diameter) and </w:t>
      </w:r>
      <w:r w:rsidR="0033260E">
        <w:t>including potential frequency re-use</w:t>
      </w:r>
      <w:r w:rsidR="00394811">
        <w:t xml:space="preserve"> pattern</w:t>
      </w:r>
      <w:r w:rsidR="00A76C34">
        <w:t>.</w:t>
      </w:r>
      <w:r w:rsidR="00015B7A">
        <w:t xml:space="preserve"> </w:t>
      </w:r>
      <w:r w:rsidR="00783C0C">
        <w:t>With minor adjustment of the parameters</w:t>
      </w:r>
      <w:r w:rsidR="003B48AB">
        <w:t>, this approach can cover the needs for both earth-moving and earth-fixed cells mobility evaluations.</w:t>
      </w:r>
      <w:r w:rsidR="007107ED">
        <w:t xml:space="preserve"> </w:t>
      </w:r>
      <w:r>
        <w:fldChar w:fldCharType="begin"/>
      </w:r>
      <w:r>
        <w:instrText>REF _Ref47444945</w:instrText>
      </w:r>
      <w:r>
        <w:fldChar w:fldCharType="separate"/>
      </w:r>
      <w:r w:rsidR="007107ED">
        <w:t xml:space="preserve">Figure </w:t>
      </w:r>
      <w:r w:rsidR="007107ED">
        <w:rPr>
          <w:noProof/>
        </w:rPr>
        <w:t>2</w:t>
      </w:r>
      <w:r>
        <w:fldChar w:fldCharType="end"/>
      </w:r>
      <w:r w:rsidR="007107ED">
        <w:t xml:space="preserve"> and </w:t>
      </w:r>
      <w:r>
        <w:fldChar w:fldCharType="begin"/>
      </w:r>
      <w:r>
        <w:instrText>REF _Ref47444947</w:instrText>
      </w:r>
      <w:r>
        <w:fldChar w:fldCharType="separate"/>
      </w:r>
      <w:r w:rsidR="007107ED">
        <w:t xml:space="preserve">Figure </w:t>
      </w:r>
      <w:r w:rsidR="007107ED">
        <w:rPr>
          <w:noProof/>
        </w:rPr>
        <w:t>3</w:t>
      </w:r>
      <w:r>
        <w:fldChar w:fldCharType="end"/>
      </w:r>
      <w:r w:rsidR="007107ED">
        <w:t xml:space="preserve"> show schematically the proposed multiple satellite scenarios for earth-moving and earth-fixed cells mobility studies, respectively.</w:t>
      </w:r>
      <w:r w:rsidR="006F64F9">
        <w:t xml:space="preserve"> Key parameters are depicted only; other assumptions can be re-used from the existing RAN1 NTN evaluation scenarios specified in </w:t>
      </w:r>
      <w:hyperlink r:id="rId36" w:history="1">
        <w:r w:rsidR="00C756AA" w:rsidRPr="00C756AA">
          <w:rPr>
            <w:rStyle w:val="Hyperlink"/>
            <w:lang w:eastAsia="zh-CN"/>
          </w:rPr>
          <w:t>TR 38.8</w:t>
        </w:r>
        <w:r w:rsidR="00961CB1">
          <w:rPr>
            <w:rStyle w:val="Hyperlink"/>
            <w:lang w:eastAsia="zh-CN"/>
          </w:rPr>
          <w:t>2</w:t>
        </w:r>
        <w:r w:rsidR="00C756AA" w:rsidRPr="00C756AA">
          <w:rPr>
            <w:rStyle w:val="Hyperlink"/>
            <w:lang w:eastAsia="zh-CN"/>
          </w:rPr>
          <w:t>1</w:t>
        </w:r>
      </w:hyperlink>
      <w:r w:rsidR="00684613">
        <w:rPr>
          <w:lang w:eastAsia="zh-CN"/>
        </w:rPr>
        <w:t xml:space="preserve"> </w:t>
      </w:r>
      <w:r w:rsidR="00684613">
        <w:rPr>
          <w:lang w:eastAsia="zh-CN"/>
        </w:rPr>
        <w:fldChar w:fldCharType="begin"/>
      </w:r>
      <w:r w:rsidR="00684613">
        <w:rPr>
          <w:lang w:eastAsia="zh-CN"/>
        </w:rPr>
        <w:instrText xml:space="preserve"> REF _Ref45185621 \r \h </w:instrText>
      </w:r>
      <w:r w:rsidR="00684613">
        <w:rPr>
          <w:lang w:eastAsia="zh-CN"/>
        </w:rPr>
      </w:r>
      <w:r w:rsidR="00684613">
        <w:rPr>
          <w:lang w:eastAsia="zh-CN"/>
        </w:rPr>
        <w:fldChar w:fldCharType="separate"/>
      </w:r>
      <w:r w:rsidR="00684613">
        <w:rPr>
          <w:lang w:eastAsia="zh-CN"/>
        </w:rPr>
        <w:t>[2]</w:t>
      </w:r>
      <w:r w:rsidR="00684613">
        <w:rPr>
          <w:lang w:eastAsia="zh-CN"/>
        </w:rPr>
        <w:fldChar w:fldCharType="end"/>
      </w:r>
      <w:r w:rsidR="006F64F9">
        <w:t>.</w:t>
      </w:r>
    </w:p>
    <w:p w14:paraId="5B86BB30" w14:textId="07A429EC" w:rsidR="00261AE5" w:rsidRPr="002E696A" w:rsidRDefault="00261AE5" w:rsidP="008F15E1">
      <w:pPr>
        <w:pStyle w:val="ListParagraph"/>
        <w:numPr>
          <w:ilvl w:val="0"/>
          <w:numId w:val="21"/>
        </w:numPr>
        <w:rPr>
          <w:b/>
          <w:bCs/>
        </w:rPr>
      </w:pPr>
      <w:bookmarkStart w:id="7" w:name="_Ref47608796"/>
      <w:r w:rsidRPr="002E696A">
        <w:rPr>
          <w:b/>
          <w:bCs/>
        </w:rPr>
        <w:t xml:space="preserve">The reference </w:t>
      </w:r>
      <w:r w:rsidR="001070F5" w:rsidRPr="002E696A">
        <w:rPr>
          <w:b/>
          <w:bCs/>
        </w:rPr>
        <w:t xml:space="preserve">multiple satellite scenario </w:t>
      </w:r>
      <w:r w:rsidRPr="002E696A">
        <w:rPr>
          <w:b/>
          <w:bCs/>
        </w:rPr>
        <w:t>to be used in RAN2 mobility studies c</w:t>
      </w:r>
      <w:r w:rsidR="00E53607" w:rsidRPr="002E696A">
        <w:rPr>
          <w:b/>
          <w:bCs/>
        </w:rPr>
        <w:t>an</w:t>
      </w:r>
      <w:r w:rsidRPr="002E696A">
        <w:rPr>
          <w:b/>
          <w:bCs/>
        </w:rPr>
        <w:t xml:space="preserve"> be defined as one satellite orbit, with 2 or 3 consecutive satellites only</w:t>
      </w:r>
      <w:r w:rsidR="009E6C36" w:rsidRPr="002E696A">
        <w:rPr>
          <w:b/>
          <w:bCs/>
        </w:rPr>
        <w:t>, with a certain inter-satellite distance</w:t>
      </w:r>
      <w:r w:rsidRPr="002E696A">
        <w:rPr>
          <w:b/>
          <w:bCs/>
        </w:rPr>
        <w:t>, each satellite having a certain beam layout</w:t>
      </w:r>
      <w:r w:rsidR="009A086E" w:rsidRPr="002E696A">
        <w:rPr>
          <w:b/>
          <w:bCs/>
        </w:rPr>
        <w:t>, beam size and frequency re-use pattern</w:t>
      </w:r>
      <w:r w:rsidRPr="002E696A">
        <w:rPr>
          <w:b/>
          <w:bCs/>
        </w:rPr>
        <w:t>.</w:t>
      </w:r>
      <w:bookmarkEnd w:id="7"/>
    </w:p>
    <w:p w14:paraId="7E2553BB" w14:textId="5CC9FDF6" w:rsidR="00A8665F" w:rsidRPr="002E696A" w:rsidRDefault="00A8665F" w:rsidP="002E696A">
      <w:pPr>
        <w:pStyle w:val="ListParagraph"/>
        <w:numPr>
          <w:ilvl w:val="0"/>
          <w:numId w:val="14"/>
        </w:numPr>
        <w:ind w:left="1418" w:hanging="1069"/>
        <w:rPr>
          <w:b/>
          <w:bCs/>
        </w:rPr>
      </w:pPr>
      <w:bookmarkStart w:id="8" w:name="_Ref47608878"/>
      <w:r w:rsidRPr="002E696A">
        <w:rPr>
          <w:b/>
          <w:bCs/>
        </w:rPr>
        <w:t xml:space="preserve">RAN2 to define a simplified </w:t>
      </w:r>
      <w:r w:rsidR="004A6891" w:rsidRPr="002E696A">
        <w:rPr>
          <w:b/>
          <w:bCs/>
        </w:rPr>
        <w:t xml:space="preserve">multiple satellites scenario </w:t>
      </w:r>
      <w:r w:rsidRPr="002E696A">
        <w:rPr>
          <w:b/>
          <w:bCs/>
        </w:rPr>
        <w:t>modelling approach</w:t>
      </w:r>
      <w:r w:rsidR="00FC7EF9" w:rsidRPr="002E696A">
        <w:rPr>
          <w:b/>
          <w:bCs/>
        </w:rPr>
        <w:t xml:space="preserve"> for the reference mobility evaluations,</w:t>
      </w:r>
      <w:r w:rsidR="004A6891" w:rsidRPr="002E696A">
        <w:rPr>
          <w:b/>
          <w:bCs/>
        </w:rPr>
        <w:t xml:space="preserve"> using the </w:t>
      </w:r>
      <w:r w:rsidR="00FC7EF9" w:rsidRPr="002E696A">
        <w:rPr>
          <w:b/>
          <w:bCs/>
        </w:rPr>
        <w:t xml:space="preserve">existing </w:t>
      </w:r>
      <w:r w:rsidR="004A6891" w:rsidRPr="002E696A">
        <w:rPr>
          <w:b/>
          <w:bCs/>
        </w:rPr>
        <w:t>RAN1 scenarios</w:t>
      </w:r>
      <w:r w:rsidR="00FC7EF9" w:rsidRPr="002E696A">
        <w:rPr>
          <w:b/>
          <w:bCs/>
        </w:rPr>
        <w:t>.</w:t>
      </w:r>
      <w:bookmarkEnd w:id="8"/>
    </w:p>
    <w:p w14:paraId="7661DE72" w14:textId="77777777" w:rsidR="007107ED" w:rsidRDefault="007107ED" w:rsidP="00846011">
      <w:pPr>
        <w:rPr>
          <w:b/>
          <w:bCs/>
        </w:rPr>
      </w:pPr>
    </w:p>
    <w:p w14:paraId="49ABACD2" w14:textId="50B62018" w:rsidR="007107ED" w:rsidRDefault="007107ED" w:rsidP="002E696A">
      <w:pPr>
        <w:jc w:val="center"/>
        <w:rPr>
          <w:b/>
          <w:bCs/>
        </w:rPr>
      </w:pPr>
      <w:r w:rsidRPr="007107ED">
        <w:rPr>
          <w:noProof/>
        </w:rPr>
        <w:drawing>
          <wp:inline distT="0" distB="0" distL="0" distR="0" wp14:anchorId="056BF67B" wp14:editId="2D033B7E">
            <wp:extent cx="6122035" cy="19977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2035" cy="1997710"/>
                    </a:xfrm>
                    <a:prstGeom prst="rect">
                      <a:avLst/>
                    </a:prstGeom>
                    <a:noFill/>
                    <a:ln>
                      <a:noFill/>
                    </a:ln>
                  </pic:spPr>
                </pic:pic>
              </a:graphicData>
            </a:graphic>
          </wp:inline>
        </w:drawing>
      </w:r>
    </w:p>
    <w:p w14:paraId="67C08335" w14:textId="259AFB04" w:rsidR="007107ED" w:rsidRDefault="007107ED" w:rsidP="007107ED">
      <w:pPr>
        <w:pStyle w:val="Caption"/>
        <w:jc w:val="center"/>
      </w:pPr>
      <w:bookmarkStart w:id="9" w:name="_Ref47444945"/>
      <w:r>
        <w:t xml:space="preserve">Figure </w:t>
      </w:r>
      <w:r>
        <w:fldChar w:fldCharType="begin"/>
      </w:r>
      <w:r>
        <w:instrText>SEQ Figure \* ARABIC</w:instrText>
      </w:r>
      <w:r>
        <w:fldChar w:fldCharType="separate"/>
      </w:r>
      <w:r>
        <w:rPr>
          <w:noProof/>
        </w:rPr>
        <w:t>2</w:t>
      </w:r>
      <w:r>
        <w:fldChar w:fldCharType="end"/>
      </w:r>
      <w:bookmarkEnd w:id="9"/>
      <w:r>
        <w:t xml:space="preserve"> Schematic view of the multiple satellite scenario for earth-moving mobility investigations.</w:t>
      </w:r>
    </w:p>
    <w:p w14:paraId="68CB123D" w14:textId="54D883F5" w:rsidR="007107ED" w:rsidRDefault="007107ED" w:rsidP="007107ED">
      <w:r w:rsidRPr="007107ED">
        <w:rPr>
          <w:noProof/>
        </w:rPr>
        <w:lastRenderedPageBreak/>
        <w:drawing>
          <wp:inline distT="0" distB="0" distL="0" distR="0" wp14:anchorId="15C2AE78" wp14:editId="25428C50">
            <wp:extent cx="6122035" cy="2390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2035" cy="2390775"/>
                    </a:xfrm>
                    <a:prstGeom prst="rect">
                      <a:avLst/>
                    </a:prstGeom>
                    <a:noFill/>
                    <a:ln>
                      <a:noFill/>
                    </a:ln>
                  </pic:spPr>
                </pic:pic>
              </a:graphicData>
            </a:graphic>
          </wp:inline>
        </w:drawing>
      </w:r>
    </w:p>
    <w:p w14:paraId="5A753441" w14:textId="09049C04" w:rsidR="007107ED" w:rsidRPr="00A95B25" w:rsidRDefault="007107ED" w:rsidP="007107ED">
      <w:pPr>
        <w:pStyle w:val="Caption"/>
        <w:jc w:val="center"/>
        <w:rPr>
          <w:lang w:val="en-US"/>
        </w:rPr>
      </w:pPr>
      <w:bookmarkStart w:id="10" w:name="_Ref47444947"/>
      <w:r>
        <w:t xml:space="preserve">Figure </w:t>
      </w:r>
      <w:r>
        <w:fldChar w:fldCharType="begin"/>
      </w:r>
      <w:r>
        <w:instrText>SEQ Figure \* ARABIC</w:instrText>
      </w:r>
      <w:r>
        <w:fldChar w:fldCharType="separate"/>
      </w:r>
      <w:r>
        <w:rPr>
          <w:noProof/>
        </w:rPr>
        <w:t>3</w:t>
      </w:r>
      <w:r>
        <w:fldChar w:fldCharType="end"/>
      </w:r>
      <w:bookmarkEnd w:id="10"/>
      <w:r>
        <w:t xml:space="preserve"> Schematic view of the multiple satellite scenario for earth-fixed mobility investigations.</w:t>
      </w:r>
    </w:p>
    <w:p w14:paraId="65610A13" w14:textId="5585491E" w:rsidR="003C285D" w:rsidRPr="008147CD" w:rsidRDefault="003C285D" w:rsidP="00846011">
      <w:pPr>
        <w:rPr>
          <w:b/>
          <w:bCs/>
        </w:rPr>
      </w:pPr>
    </w:p>
    <w:p w14:paraId="3AE3F1D2" w14:textId="7081F05A" w:rsidR="00E902BF" w:rsidRDefault="00846011" w:rsidP="004C1D51">
      <w:pPr>
        <w:pStyle w:val="Heading2"/>
      </w:pPr>
      <w:r>
        <w:t>2</w:t>
      </w:r>
      <w:r w:rsidRPr="006E13D1">
        <w:t>.</w:t>
      </w:r>
      <w:r>
        <w:t>3</w:t>
      </w:r>
      <w:r w:rsidRPr="006E13D1">
        <w:tab/>
      </w:r>
      <w:r w:rsidR="00E902BF">
        <w:t>Transparent payload aspects</w:t>
      </w:r>
    </w:p>
    <w:p w14:paraId="39D2CD42" w14:textId="77777777" w:rsidR="00AF4156" w:rsidRDefault="00AF4156" w:rsidP="00AF4156">
      <w:r w:rsidRPr="007469A1">
        <w:t>In a</w:t>
      </w:r>
      <w:r>
        <w:t xml:space="preserve">ddition to the constellation itself, it is also important to clarify the impact of feeder links, especially since the WI description </w:t>
      </w:r>
      <w:hyperlink r:id="rId39" w:history="1">
        <w:r w:rsidRPr="005E694F">
          <w:rPr>
            <w:rStyle w:val="Hyperlink"/>
            <w:lang w:eastAsia="ja-JP"/>
          </w:rPr>
          <w:t>RP-201256</w:t>
        </w:r>
      </w:hyperlink>
      <w:r>
        <w:rPr>
          <w:rStyle w:val="Hyperlink"/>
          <w:lang w:eastAsia="ja-JP"/>
        </w:rPr>
        <w:t xml:space="preserve"> </w:t>
      </w:r>
      <w:r>
        <w:fldChar w:fldCharType="begin"/>
      </w:r>
      <w:r>
        <w:instrText xml:space="preserve"> REF _Ref45185613 \r \h </w:instrText>
      </w:r>
      <w:r>
        <w:fldChar w:fldCharType="separate"/>
      </w:r>
      <w:r>
        <w:t>[1]</w:t>
      </w:r>
      <w:r>
        <w:fldChar w:fldCharType="end"/>
      </w:r>
      <w:r>
        <w:t xml:space="preserve"> is focused on transparent payload satellites. A key assumption will be the relative location of the NTN-GW to the satellite(s). Defining the NTN-GW position allows to calculate the varying feeder link delay as a function of NTN-GW – satellite distance, time or elevation angle. For simplicity, a function can be defined to describe the time variation as a function of the NTN-GW – satellite distance without the need to define an actual geographical location on earth. E.g. the delay would be x ms at time T1 and y ms at time T2 and so forth, or the delay would follow a parabolic function.</w:t>
      </w:r>
    </w:p>
    <w:p w14:paraId="7CF76461" w14:textId="4030CF1D" w:rsidR="00AF4156" w:rsidRPr="0061378F" w:rsidRDefault="00AF4156" w:rsidP="002E696A">
      <w:pPr>
        <w:pStyle w:val="ListParagraph"/>
        <w:numPr>
          <w:ilvl w:val="0"/>
          <w:numId w:val="14"/>
        </w:numPr>
        <w:rPr>
          <w:b/>
        </w:rPr>
      </w:pPr>
      <w:bookmarkStart w:id="11" w:name="_Ref47608894"/>
      <w:r w:rsidRPr="005038BE">
        <w:rPr>
          <w:b/>
          <w:bCs/>
        </w:rPr>
        <w:t>RAN2 to define a reference NTN-GW - satellite feeder link delay function vs. time</w:t>
      </w:r>
      <w:r w:rsidR="008A1867">
        <w:rPr>
          <w:b/>
          <w:bCs/>
        </w:rPr>
        <w:t xml:space="preserve"> </w:t>
      </w:r>
      <w:r w:rsidR="00E36D74">
        <w:rPr>
          <w:b/>
          <w:bCs/>
        </w:rPr>
        <w:t>for the case when</w:t>
      </w:r>
      <w:r w:rsidR="008A1867">
        <w:rPr>
          <w:b/>
          <w:bCs/>
        </w:rPr>
        <w:t xml:space="preserve"> </w:t>
      </w:r>
      <w:r w:rsidR="001D7F75">
        <w:rPr>
          <w:b/>
          <w:bCs/>
        </w:rPr>
        <w:t xml:space="preserve">feeder link </w:t>
      </w:r>
      <w:r w:rsidR="0061378F">
        <w:rPr>
          <w:b/>
          <w:bCs/>
        </w:rPr>
        <w:t xml:space="preserve">delay </w:t>
      </w:r>
      <w:r w:rsidR="008A1867" w:rsidRPr="008F15E1">
        <w:rPr>
          <w:b/>
          <w:bCs/>
        </w:rPr>
        <w:t>pre-compensation</w:t>
      </w:r>
      <w:r w:rsidR="0061378F">
        <w:rPr>
          <w:b/>
          <w:bCs/>
        </w:rPr>
        <w:t xml:space="preserve"> is not used</w:t>
      </w:r>
      <w:r w:rsidR="00430483">
        <w:rPr>
          <w:b/>
          <w:bCs/>
        </w:rPr>
        <w:t xml:space="preserve"> (i.e. the satellite is not the delay reference point</w:t>
      </w:r>
      <w:r w:rsidR="00715B21">
        <w:rPr>
          <w:b/>
          <w:bCs/>
        </w:rPr>
        <w:t xml:space="preserve"> for the UEs</w:t>
      </w:r>
      <w:r w:rsidR="001D7F75">
        <w:rPr>
          <w:b/>
          <w:bCs/>
        </w:rPr>
        <w:t>)</w:t>
      </w:r>
      <w:r w:rsidRPr="0061378F">
        <w:rPr>
          <w:b/>
        </w:rPr>
        <w:t>.</w:t>
      </w:r>
      <w:bookmarkEnd w:id="11"/>
    </w:p>
    <w:p w14:paraId="3693E969" w14:textId="04D37AD9" w:rsidR="00E902BF" w:rsidRDefault="00E902BF" w:rsidP="00E902BF">
      <w:r>
        <w:t xml:space="preserve">The text of section 5.1.1 </w:t>
      </w:r>
      <w:hyperlink r:id="rId40" w:history="1">
        <w:r w:rsidRPr="00706621">
          <w:rPr>
            <w:rStyle w:val="Hyperlink"/>
            <w:lang w:eastAsia="zh-CN"/>
          </w:rPr>
          <w:t>TR 38.821</w:t>
        </w:r>
      </w:hyperlink>
      <w:r>
        <w:t xml:space="preserve">  [2] defines the transparent satellite implements amplification of uplink and downlink. However, the exact type of amplification is not defined. This is an issue, e.g. because the satellite downlink output power impacts link adaptation (interpretation of CQI, SRS), mobility mechanisms (handover and cell selection) and UE uplink power control. Thus, it is necessary to define the type of satellite amplification, both for the downlink (i.e. feeder link to service link) and uplink (i.e. service link to feeder link) – note that each link is composed of a receiving and transmitting gain factor. The potential amplification types include:</w:t>
      </w:r>
    </w:p>
    <w:p w14:paraId="636E2DF2" w14:textId="77777777" w:rsidR="00E902BF" w:rsidRPr="002E696A" w:rsidRDefault="00E902BF" w:rsidP="002E696A">
      <w:pPr>
        <w:pStyle w:val="ListParagraph"/>
        <w:numPr>
          <w:ilvl w:val="0"/>
          <w:numId w:val="16"/>
        </w:numPr>
        <w:rPr>
          <w:rFonts w:ascii="Times New Roman" w:hAnsi="Times New Roman"/>
          <w:sz w:val="20"/>
          <w:szCs w:val="20"/>
        </w:rPr>
      </w:pPr>
      <w:r w:rsidRPr="002E696A">
        <w:rPr>
          <w:rFonts w:ascii="Times New Roman" w:hAnsi="Times New Roman"/>
          <w:sz w:val="20"/>
          <w:szCs w:val="20"/>
        </w:rPr>
        <w:t xml:space="preserve">Constant gain. The combined receive and transmit gain is a constant, independent of the received signal. </w:t>
      </w:r>
    </w:p>
    <w:p w14:paraId="4314EFC2" w14:textId="77777777" w:rsidR="00E902BF" w:rsidRPr="002E696A" w:rsidRDefault="00E902BF" w:rsidP="002E696A">
      <w:pPr>
        <w:pStyle w:val="ListParagraph"/>
        <w:numPr>
          <w:ilvl w:val="0"/>
          <w:numId w:val="16"/>
        </w:numPr>
        <w:rPr>
          <w:rFonts w:ascii="Times New Roman" w:hAnsi="Times New Roman"/>
          <w:sz w:val="20"/>
          <w:szCs w:val="20"/>
        </w:rPr>
      </w:pPr>
      <w:r w:rsidRPr="002E696A">
        <w:rPr>
          <w:rFonts w:ascii="Times New Roman" w:hAnsi="Times New Roman"/>
          <w:sz w:val="20"/>
          <w:szCs w:val="20"/>
        </w:rPr>
        <w:t xml:space="preserve">Constant Emitted Isotropic Radiated Power (EIRP). The satellite will adjust the combined receive and transmit gain based on the received signal and a target EIRP. This may potentially make the feeder link gain equal to one. </w:t>
      </w:r>
    </w:p>
    <w:p w14:paraId="3B802695" w14:textId="7A465AFE" w:rsidR="00E902BF" w:rsidRPr="002E696A" w:rsidRDefault="00E902BF" w:rsidP="002E696A">
      <w:pPr>
        <w:pStyle w:val="ListParagraph"/>
        <w:numPr>
          <w:ilvl w:val="0"/>
          <w:numId w:val="16"/>
        </w:numPr>
        <w:rPr>
          <w:rFonts w:ascii="Times New Roman" w:hAnsi="Times New Roman"/>
          <w:sz w:val="20"/>
          <w:szCs w:val="20"/>
        </w:rPr>
      </w:pPr>
      <w:r w:rsidRPr="002E696A">
        <w:rPr>
          <w:rFonts w:ascii="Times New Roman" w:hAnsi="Times New Roman"/>
          <w:sz w:val="20"/>
          <w:szCs w:val="20"/>
        </w:rPr>
        <w:t xml:space="preserve">Constant power at receiver. The satellite will attempt to compensate for the radio channel (applies to the feeder link only?).  </w:t>
      </w:r>
    </w:p>
    <w:p w14:paraId="3E54EFFB" w14:textId="71E51550" w:rsidR="00E902BF" w:rsidRDefault="00E902BF" w:rsidP="00E902BF">
      <w:r>
        <w:t xml:space="preserve">As an example of the implications, consider the scenario of </w:t>
      </w:r>
      <w:r>
        <w:fldChar w:fldCharType="begin"/>
      </w:r>
      <w:r>
        <w:instrText>REF _Ref47518838</w:instrText>
      </w:r>
      <w:r>
        <w:fldChar w:fldCharType="separate"/>
      </w:r>
      <w:r w:rsidR="00831521">
        <w:t xml:space="preserve">Figure </w:t>
      </w:r>
      <w:r w:rsidR="00831521">
        <w:rPr>
          <w:noProof/>
        </w:rPr>
        <w:t>4</w:t>
      </w:r>
      <w:r>
        <w:fldChar w:fldCharType="end"/>
      </w:r>
      <w:r>
        <w:t xml:space="preserve">. Since the combined propagation distance is the same for NTN-GW1 – SAT1 – UE and NTN-GW2 – SAT2 – UE, the constant gain type of amplification will in principle result in the same received power at the UE from both NTN-GWs. However, if the constant EIRP type of amplification is applied, the SAT2 will provide a significantly stronger signal to the UE since service link sl2&lt;&lt;sl1, but SAT2 will also consume more power, because the required gain from feeder link to service link is larger (fl1&lt;&lt;fl2). Figure </w:t>
      </w:r>
      <w:r w:rsidR="0071658D">
        <w:t xml:space="preserve">5 </w:t>
      </w:r>
      <w:r>
        <w:t xml:space="preserve">provides another example, where the transparent satellite is connected to two different feeder links (i.e. a feeder link switch may be imminent). One feeder link (fl1) experiences significantly larger propagation delay and loss compared to the other (fl2). However, if the satellite fully compensates for the feeder link propagation loss in downlink, the UE will see two equal power service links (sl1 and sl2). </w:t>
      </w:r>
    </w:p>
    <w:p w14:paraId="5B873F75" w14:textId="77777777" w:rsidR="00E902BF" w:rsidRDefault="00E902BF" w:rsidP="00E902BF"/>
    <w:p w14:paraId="6E9A4C15" w14:textId="5A4CC525" w:rsidR="00E902BF" w:rsidRDefault="3B68E559" w:rsidP="002E696A">
      <w:pPr>
        <w:jc w:val="center"/>
      </w:pPr>
      <w:r>
        <w:rPr>
          <w:noProof/>
        </w:rPr>
        <w:lastRenderedPageBreak/>
        <w:drawing>
          <wp:inline distT="0" distB="0" distL="0" distR="0" wp14:anchorId="29ADC08F" wp14:editId="70A81776">
            <wp:extent cx="4196517" cy="1800000"/>
            <wp:effectExtent l="0" t="0" r="0" b="0"/>
            <wp:docPr id="14895235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41">
                      <a:extLst>
                        <a:ext uri="{28A0092B-C50C-407E-A947-70E740481C1C}">
                          <a14:useLocalDpi xmlns:a14="http://schemas.microsoft.com/office/drawing/2010/main" val="0"/>
                        </a:ext>
                      </a:extLst>
                    </a:blip>
                    <a:stretch>
                      <a:fillRect/>
                    </a:stretch>
                  </pic:blipFill>
                  <pic:spPr>
                    <a:xfrm>
                      <a:off x="0" y="0"/>
                      <a:ext cx="4196517" cy="1800000"/>
                    </a:xfrm>
                    <a:prstGeom prst="rect">
                      <a:avLst/>
                    </a:prstGeom>
                  </pic:spPr>
                </pic:pic>
              </a:graphicData>
            </a:graphic>
          </wp:inline>
        </w:drawing>
      </w:r>
    </w:p>
    <w:p w14:paraId="4B903120" w14:textId="65A51AF7" w:rsidR="00E902BF" w:rsidRDefault="00E902BF" w:rsidP="002E696A">
      <w:pPr>
        <w:pStyle w:val="Caption"/>
        <w:jc w:val="center"/>
      </w:pPr>
      <w:bookmarkStart w:id="12" w:name="_Ref47518838"/>
      <w:r>
        <w:t xml:space="preserve">Figure </w:t>
      </w:r>
      <w:r>
        <w:fldChar w:fldCharType="begin"/>
      </w:r>
      <w:r>
        <w:instrText>SEQ Figure \* ARABIC</w:instrText>
      </w:r>
      <w:r>
        <w:fldChar w:fldCharType="separate"/>
      </w:r>
      <w:r w:rsidR="00831521">
        <w:rPr>
          <w:noProof/>
        </w:rPr>
        <w:t>4</w:t>
      </w:r>
      <w:r>
        <w:fldChar w:fldCharType="end"/>
      </w:r>
      <w:bookmarkEnd w:id="12"/>
      <w:r>
        <w:t xml:space="preserve"> Scenario where transparent satellite amplification type impacts UE mobility.</w:t>
      </w:r>
    </w:p>
    <w:p w14:paraId="75B98891" w14:textId="77777777" w:rsidR="00E902BF" w:rsidRDefault="00E902BF" w:rsidP="00E902BF"/>
    <w:p w14:paraId="69B90AC0" w14:textId="407CA83A" w:rsidR="00E902BF" w:rsidRDefault="3B68E559" w:rsidP="002E696A">
      <w:pPr>
        <w:jc w:val="center"/>
      </w:pPr>
      <w:r>
        <w:rPr>
          <w:noProof/>
        </w:rPr>
        <w:drawing>
          <wp:inline distT="0" distB="0" distL="0" distR="0" wp14:anchorId="7012942C" wp14:editId="71B57777">
            <wp:extent cx="3384744" cy="1800000"/>
            <wp:effectExtent l="0" t="0" r="6350" b="0"/>
            <wp:docPr id="189425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42">
                      <a:extLst>
                        <a:ext uri="{28A0092B-C50C-407E-A947-70E740481C1C}">
                          <a14:useLocalDpi xmlns:a14="http://schemas.microsoft.com/office/drawing/2010/main" val="0"/>
                        </a:ext>
                      </a:extLst>
                    </a:blip>
                    <a:stretch>
                      <a:fillRect/>
                    </a:stretch>
                  </pic:blipFill>
                  <pic:spPr>
                    <a:xfrm>
                      <a:off x="0" y="0"/>
                      <a:ext cx="3384744" cy="1800000"/>
                    </a:xfrm>
                    <a:prstGeom prst="rect">
                      <a:avLst/>
                    </a:prstGeom>
                  </pic:spPr>
                </pic:pic>
              </a:graphicData>
            </a:graphic>
          </wp:inline>
        </w:drawing>
      </w:r>
    </w:p>
    <w:p w14:paraId="3D41BB9D" w14:textId="48004DDD" w:rsidR="00E902BF" w:rsidRDefault="00E902BF" w:rsidP="002E696A">
      <w:pPr>
        <w:pStyle w:val="Caption"/>
        <w:jc w:val="center"/>
      </w:pPr>
      <w:r>
        <w:t xml:space="preserve">Figure </w:t>
      </w:r>
      <w:r>
        <w:fldChar w:fldCharType="begin"/>
      </w:r>
      <w:r>
        <w:instrText>SEQ Figure \* ARABIC</w:instrText>
      </w:r>
      <w:r>
        <w:fldChar w:fldCharType="separate"/>
      </w:r>
      <w:r>
        <w:rPr>
          <w:noProof/>
        </w:rPr>
        <w:t>5</w:t>
      </w:r>
      <w:r>
        <w:fldChar w:fldCharType="end"/>
      </w:r>
      <w:r>
        <w:t xml:space="preserve"> Another scenario where transparent satellite amplification type impacts UE mobility.</w:t>
      </w:r>
    </w:p>
    <w:p w14:paraId="1DC73A99" w14:textId="77777777" w:rsidR="00E902BF" w:rsidRDefault="00E902BF" w:rsidP="00E902BF"/>
    <w:p w14:paraId="7F4D2ACC" w14:textId="383521E6" w:rsidR="00E902BF" w:rsidRDefault="00E902BF" w:rsidP="00E902BF">
      <w:r>
        <w:t xml:space="preserve">In addition to the </w:t>
      </w:r>
      <w:r w:rsidR="00AA25C1">
        <w:t xml:space="preserve">satellite </w:t>
      </w:r>
      <w:r>
        <w:t xml:space="preserve">amplification </w:t>
      </w:r>
      <w:r w:rsidR="00AA25C1">
        <w:t>assumptions</w:t>
      </w:r>
      <w:r>
        <w:t xml:space="preserve">, it will also be beneficial to clarify, whether the target of the selected amplification </w:t>
      </w:r>
      <w:r w:rsidR="00AA25C1">
        <w:t xml:space="preserve">level </w:t>
      </w:r>
      <w:r>
        <w:t xml:space="preserve">can always be achieved or certain events (e.g. lack of battery power, high load of users) will result in variations over time. </w:t>
      </w:r>
    </w:p>
    <w:p w14:paraId="6B1D6359" w14:textId="3403A27C" w:rsidR="00E902BF" w:rsidRDefault="00E902BF" w:rsidP="00E902BF">
      <w:r>
        <w:t>Given the above options of transparent satellite amplification it is observed that it will be beneficial for the gNB to be aware of the transparent satellite mechanisms. This is e.g. useful for interpreting measurement reports and configuring UE uplink transmit power control</w:t>
      </w:r>
      <w:r w:rsidR="00A472E7">
        <w:t xml:space="preserve">, e.g. </w:t>
      </w:r>
      <w:hyperlink r:id="rId43" w:history="1">
        <w:r w:rsidR="00A472E7" w:rsidRPr="005038BE">
          <w:rPr>
            <w:rStyle w:val="Hyperlink"/>
          </w:rPr>
          <w:t>R1-1908251</w:t>
        </w:r>
      </w:hyperlink>
      <w:r>
        <w:t xml:space="preserve">. As an example, the UE considers the radio path loss to be reciprocal and it thus relies on downlink RSRP measurements, when determining its uplink transmit power. However, the satellite may apply different gain factors in the feeder link to service link and the service link to feeder link, which results in suboptimal UE uplink transmit power. Therefore, it is beneficial for the gNB to be aware of the transparent satellite’s gain factors and to potentially adjust certain UE parameters including transmit power control. </w:t>
      </w:r>
    </w:p>
    <w:p w14:paraId="68C55B31" w14:textId="5ABA256C" w:rsidR="001D5F9E" w:rsidRDefault="007B55BE" w:rsidP="008F15E1">
      <w:pPr>
        <w:pStyle w:val="ListParagraph"/>
        <w:numPr>
          <w:ilvl w:val="0"/>
          <w:numId w:val="21"/>
        </w:numPr>
        <w:ind w:left="1843" w:hanging="1483"/>
        <w:rPr>
          <w:b/>
          <w:bCs/>
        </w:rPr>
      </w:pPr>
      <w:bookmarkStart w:id="13" w:name="_Ref54023031"/>
      <w:r>
        <w:rPr>
          <w:b/>
          <w:bCs/>
        </w:rPr>
        <w:t xml:space="preserve">For the </w:t>
      </w:r>
      <w:r w:rsidRPr="005038BE">
        <w:rPr>
          <w:b/>
          <w:bCs/>
        </w:rPr>
        <w:t>transparent satellite</w:t>
      </w:r>
      <w:r w:rsidRPr="002E696A">
        <w:rPr>
          <w:b/>
          <w:bCs/>
        </w:rPr>
        <w:t xml:space="preserve"> </w:t>
      </w:r>
      <w:r>
        <w:rPr>
          <w:b/>
          <w:bCs/>
        </w:rPr>
        <w:t xml:space="preserve">payload </w:t>
      </w:r>
      <w:r w:rsidR="00730073">
        <w:rPr>
          <w:b/>
          <w:bCs/>
        </w:rPr>
        <w:t>scenarios,</w:t>
      </w:r>
      <w:r>
        <w:rPr>
          <w:b/>
          <w:bCs/>
        </w:rPr>
        <w:t xml:space="preserve"> i</w:t>
      </w:r>
      <w:r w:rsidR="00E902BF" w:rsidRPr="002E696A">
        <w:rPr>
          <w:b/>
          <w:bCs/>
        </w:rPr>
        <w:t xml:space="preserve">t is beneficial </w:t>
      </w:r>
      <w:r>
        <w:rPr>
          <w:b/>
          <w:bCs/>
        </w:rPr>
        <w:t xml:space="preserve">to have a model assumed for the </w:t>
      </w:r>
      <w:r w:rsidR="00730073">
        <w:rPr>
          <w:b/>
          <w:bCs/>
        </w:rPr>
        <w:t xml:space="preserve">signal </w:t>
      </w:r>
      <w:r w:rsidR="00E902BF" w:rsidRPr="002E696A">
        <w:rPr>
          <w:b/>
          <w:bCs/>
        </w:rPr>
        <w:t>gain</w:t>
      </w:r>
      <w:r w:rsidR="00730073">
        <w:rPr>
          <w:b/>
          <w:bCs/>
        </w:rPr>
        <w:t>/amplification</w:t>
      </w:r>
      <w:r w:rsidR="00E902BF" w:rsidRPr="002E696A">
        <w:rPr>
          <w:b/>
          <w:bCs/>
        </w:rPr>
        <w:t xml:space="preserve"> factors</w:t>
      </w:r>
      <w:r>
        <w:rPr>
          <w:b/>
          <w:bCs/>
        </w:rPr>
        <w:t xml:space="preserve"> applied at the satellite between the feeder and service links.</w:t>
      </w:r>
      <w:bookmarkEnd w:id="13"/>
    </w:p>
    <w:p w14:paraId="323A75E1" w14:textId="77777777" w:rsidR="001D5F9E" w:rsidRDefault="001D5F9E" w:rsidP="008F15E1">
      <w:pPr>
        <w:pStyle w:val="ListParagraph"/>
        <w:ind w:left="1843"/>
        <w:rPr>
          <w:b/>
          <w:bCs/>
        </w:rPr>
      </w:pPr>
    </w:p>
    <w:p w14:paraId="13E51F49" w14:textId="3332AD2A" w:rsidR="00815C36" w:rsidRPr="008F15E1" w:rsidRDefault="001D5F9E" w:rsidP="008F15E1">
      <w:pPr>
        <w:pStyle w:val="ListParagraph"/>
        <w:numPr>
          <w:ilvl w:val="0"/>
          <w:numId w:val="14"/>
        </w:numPr>
        <w:rPr>
          <w:b/>
          <w:bCs/>
        </w:rPr>
      </w:pPr>
      <w:r w:rsidRPr="008F15E1">
        <w:rPr>
          <w:b/>
          <w:bCs/>
        </w:rPr>
        <w:t xml:space="preserve"> </w:t>
      </w:r>
      <w:r w:rsidR="00815C36" w:rsidRPr="008F15E1">
        <w:rPr>
          <w:b/>
          <w:bCs/>
        </w:rPr>
        <w:t xml:space="preserve">Define a reference model for the feeder and service link signal amplification </w:t>
      </w:r>
      <w:r w:rsidR="00F3748D">
        <w:rPr>
          <w:b/>
          <w:bCs/>
        </w:rPr>
        <w:t xml:space="preserve">on-board the </w:t>
      </w:r>
      <w:r w:rsidR="005220AC">
        <w:rPr>
          <w:b/>
          <w:bCs/>
        </w:rPr>
        <w:t xml:space="preserve">transparent </w:t>
      </w:r>
      <w:r w:rsidR="00F3748D">
        <w:rPr>
          <w:b/>
          <w:bCs/>
        </w:rPr>
        <w:t>satellite</w:t>
      </w:r>
      <w:r w:rsidR="00815C36" w:rsidRPr="008F15E1">
        <w:rPr>
          <w:b/>
          <w:bCs/>
        </w:rPr>
        <w:t xml:space="preserve">. </w:t>
      </w:r>
    </w:p>
    <w:p w14:paraId="0F0D5387" w14:textId="77777777" w:rsidR="00815C36" w:rsidRPr="008F15E1" w:rsidRDefault="00815C36" w:rsidP="008F15E1">
      <w:pPr>
        <w:rPr>
          <w:b/>
          <w:bCs/>
        </w:rPr>
      </w:pPr>
    </w:p>
    <w:p w14:paraId="50AF0A2E" w14:textId="55E90EC5" w:rsidR="00846011" w:rsidRPr="006E13D1" w:rsidRDefault="00E902BF" w:rsidP="00846011">
      <w:pPr>
        <w:pStyle w:val="Heading2"/>
      </w:pPr>
      <w:r>
        <w:t>2.4</w:t>
      </w:r>
      <w:r>
        <w:tab/>
      </w:r>
      <w:r w:rsidR="007469A1">
        <w:t>Earth-fixed cell</w:t>
      </w:r>
      <w:r w:rsidR="00C613D8">
        <w:t>s aspects</w:t>
      </w:r>
    </w:p>
    <w:p w14:paraId="530CB904" w14:textId="4D5A3D02" w:rsidR="00846011" w:rsidRDefault="00C613D8" w:rsidP="005B4B3F">
      <w:r>
        <w:t xml:space="preserve">The TR </w:t>
      </w:r>
      <w:r>
        <w:fldChar w:fldCharType="begin"/>
      </w:r>
      <w:r>
        <w:instrText xml:space="preserve"> REF _Ref45185621 \r \h </w:instrText>
      </w:r>
      <w:r>
        <w:fldChar w:fldCharType="separate"/>
      </w:r>
      <w:r>
        <w:t>[2]</w:t>
      </w:r>
      <w:r>
        <w:fldChar w:fldCharType="end"/>
      </w:r>
      <w:r>
        <w:t xml:space="preserve"> considers both earth-moving and earth-fixed cells. The former implies beams are moving with the satellite, while the latter implies the satellite is “continuously” adjusting the beam pointing direction to fix the NR cell on earth for a certain amount of time. In order to reduce the inter-cell interference</w:t>
      </w:r>
      <w:r w:rsidR="0003309F">
        <w:t>,</w:t>
      </w:r>
      <w:r>
        <w:t xml:space="preserve"> the satellite may apply beam-shaping to </w:t>
      </w:r>
      <w:r>
        <w:lastRenderedPageBreak/>
        <w:t xml:space="preserve">narrow the beam width as the satellite moves away from the reference point on earth.  The need for such functionality depends among others on the constellation </w:t>
      </w:r>
      <w:r w:rsidR="00B93D0B">
        <w:t>design but</w:t>
      </w:r>
      <w:r>
        <w:t xml:space="preserve"> was so far not discussed.</w:t>
      </w:r>
    </w:p>
    <w:p w14:paraId="16D5F1F4" w14:textId="5E5BD2B5" w:rsidR="00217D4C" w:rsidRDefault="00217D4C" w:rsidP="005B4B3F">
      <w:r>
        <w:t>Additionally, the use of earth-fixed cells implies that the serving satellite at some point in time will change, because the satellite has moved too far away from the cell location on earth. As part of the mobility performance evaluations in RAN2, this cell-switch functionality also needs to be evaluated to ensure a good user experience.</w:t>
      </w:r>
    </w:p>
    <w:p w14:paraId="79B4E21A" w14:textId="4BCF1C92" w:rsidR="007D30A6" w:rsidRDefault="00326ABD" w:rsidP="008F15E1">
      <w:r>
        <w:t xml:space="preserve">As an illustrative example, we show in </w:t>
      </w:r>
      <w:r w:rsidR="00ED33D1">
        <w:fldChar w:fldCharType="begin"/>
      </w:r>
      <w:r w:rsidR="00ED33D1">
        <w:instrText xml:space="preserve"> REF _Ref54168911 \h </w:instrText>
      </w:r>
      <w:r w:rsidR="007D30A6">
        <w:instrText xml:space="preserve"> \* MERGEFORMAT </w:instrText>
      </w:r>
      <w:r w:rsidR="00ED33D1">
        <w:fldChar w:fldCharType="separate"/>
      </w:r>
      <w:r w:rsidR="00ED33D1">
        <w:t>Figure 7</w:t>
      </w:r>
      <w:r w:rsidR="00ED33D1">
        <w:fldChar w:fldCharType="end"/>
      </w:r>
      <w:r w:rsidR="00ED33D1" w:rsidRPr="00ED33D1">
        <w:t xml:space="preserve"> </w:t>
      </w:r>
      <w:r w:rsidR="002E5CFE">
        <w:t>the simulated</w:t>
      </w:r>
      <w:r w:rsidR="00F70A70" w:rsidRPr="00F70A70">
        <w:t xml:space="preserve"> serving </w:t>
      </w:r>
      <w:r w:rsidR="00727C5E">
        <w:t xml:space="preserve">cell </w:t>
      </w:r>
      <w:r w:rsidR="00F70A70" w:rsidRPr="00F70A70">
        <w:t>SINR of the best beam/cell for one UE position</w:t>
      </w:r>
      <w:r w:rsidR="00727C5E">
        <w:t>,</w:t>
      </w:r>
      <w:r w:rsidR="00F70A70" w:rsidRPr="00F70A70">
        <w:t xml:space="preserve"> </w:t>
      </w:r>
      <w:r w:rsidR="00F70A70">
        <w:t xml:space="preserve">located in the center of the beam coverage area, </w:t>
      </w:r>
      <w:r w:rsidR="00F70A70" w:rsidRPr="00F70A70">
        <w:t xml:space="preserve">during a </w:t>
      </w:r>
      <w:r w:rsidR="002E5CFE">
        <w:t xml:space="preserve">satellite and beam </w:t>
      </w:r>
      <w:r w:rsidR="00F70A70" w:rsidRPr="00F70A70">
        <w:t xml:space="preserve">switch in an Earth-fixed </w:t>
      </w:r>
      <w:r w:rsidR="00727C5E">
        <w:t>cell</w:t>
      </w:r>
      <w:r w:rsidR="00F70A70" w:rsidRPr="00F70A70">
        <w:t xml:space="preserve"> scenario</w:t>
      </w:r>
      <w:r w:rsidR="002E5CFE">
        <w:t>. Frequency re-use</w:t>
      </w:r>
      <w:r w:rsidR="00F70A70" w:rsidRPr="00F70A70">
        <w:t xml:space="preserve"> 3</w:t>
      </w:r>
      <w:r w:rsidR="002E5CFE">
        <w:t xml:space="preserve"> is </w:t>
      </w:r>
      <w:r w:rsidR="00765A8C">
        <w:t>used</w:t>
      </w:r>
      <w:r w:rsidR="00A12BC6">
        <w:t xml:space="preserve">. The channel model </w:t>
      </w:r>
      <w:r w:rsidR="003D0D12">
        <w:t>corresponds to a rural LOS</w:t>
      </w:r>
      <w:r w:rsidR="00F70A70" w:rsidRPr="00F70A70">
        <w:t xml:space="preserve"> </w:t>
      </w:r>
      <w:r w:rsidR="003D0D12">
        <w:t xml:space="preserve">scenario as described in </w:t>
      </w:r>
      <w:hyperlink r:id="rId44" w:history="1">
        <w:r w:rsidR="003D0D12" w:rsidRPr="00C756AA">
          <w:rPr>
            <w:rStyle w:val="Hyperlink"/>
            <w:lang w:eastAsia="zh-CN"/>
          </w:rPr>
          <w:t>TR 38.811</w:t>
        </w:r>
      </w:hyperlink>
      <w:r w:rsidR="003D0D12">
        <w:t xml:space="preserve"> </w:t>
      </w:r>
      <w:r w:rsidR="003D0D12">
        <w:fldChar w:fldCharType="begin"/>
      </w:r>
      <w:r w:rsidR="003D0D12">
        <w:instrText xml:space="preserve"> REF _Ref45186589 \r \h </w:instrText>
      </w:r>
      <w:r w:rsidR="003D0D12">
        <w:fldChar w:fldCharType="separate"/>
      </w:r>
      <w:r w:rsidR="003D0D12">
        <w:t>[3]</w:t>
      </w:r>
      <w:r w:rsidR="003D0D12">
        <w:fldChar w:fldCharType="end"/>
      </w:r>
      <w:r w:rsidR="003D0D12">
        <w:t xml:space="preserve">. </w:t>
      </w:r>
      <w:r w:rsidR="00F70A70" w:rsidRPr="00F70A70">
        <w:t>In th</w:t>
      </w:r>
      <w:r w:rsidR="003D0D12">
        <w:t>is</w:t>
      </w:r>
      <w:r w:rsidR="00F70A70" w:rsidRPr="00F70A70">
        <w:t xml:space="preserve"> example scenario, both satellites steer </w:t>
      </w:r>
      <w:r w:rsidR="00B16D8B">
        <w:t>a</w:t>
      </w:r>
      <w:r w:rsidR="00F70A70" w:rsidRPr="00F70A70">
        <w:t xml:space="preserve"> beam to the same position</w:t>
      </w:r>
      <w:r w:rsidR="00A04A37">
        <w:t xml:space="preserve"> on Earth</w:t>
      </w:r>
      <w:r w:rsidR="00F70A70" w:rsidRPr="00F70A70">
        <w:t xml:space="preserve"> for a specific time</w:t>
      </w:r>
      <w:r w:rsidR="00650DD7">
        <w:t xml:space="preserve"> </w:t>
      </w:r>
      <w:r w:rsidR="00A04A37">
        <w:t xml:space="preserve">duration </w:t>
      </w:r>
      <w:r w:rsidR="00650DD7">
        <w:t xml:space="preserve">(between </w:t>
      </w:r>
      <w:r w:rsidR="00DF58B4">
        <w:t>31 and 35 seconds)</w:t>
      </w:r>
      <w:r w:rsidR="00F70A70" w:rsidRPr="00F70A70">
        <w:t xml:space="preserve">, in order to allow the </w:t>
      </w:r>
      <w:r w:rsidR="00B16D8B">
        <w:t>UE</w:t>
      </w:r>
      <w:r w:rsidR="009255C7">
        <w:t xml:space="preserve"> hand-overs</w:t>
      </w:r>
      <w:r w:rsidR="00F70A70" w:rsidRPr="00F70A70">
        <w:t xml:space="preserve"> to </w:t>
      </w:r>
      <w:r w:rsidR="009255C7">
        <w:t>be triggered and executed</w:t>
      </w:r>
      <w:r w:rsidR="00F70A70" w:rsidRPr="00F70A70">
        <w:t xml:space="preserve">. </w:t>
      </w:r>
      <w:r w:rsidR="006C6712">
        <w:t xml:space="preserve">There is no dedicated beam-shaping applied, which could </w:t>
      </w:r>
      <w:r w:rsidR="006649E8">
        <w:t xml:space="preserve">further </w:t>
      </w:r>
      <w:r w:rsidR="006C6712">
        <w:t>improve the signal levels</w:t>
      </w:r>
      <w:r w:rsidR="002B43B7">
        <w:t xml:space="preserve"> during this switch.</w:t>
      </w:r>
      <w:r w:rsidR="006C6712">
        <w:t xml:space="preserve"> </w:t>
      </w:r>
      <w:r w:rsidR="00F70A70" w:rsidRPr="00F70A70">
        <w:t xml:space="preserve">During the time where both satellites </w:t>
      </w:r>
      <w:r w:rsidR="00B16D8B">
        <w:t xml:space="preserve">beams </w:t>
      </w:r>
      <w:r w:rsidR="00F70A70" w:rsidRPr="00F70A70">
        <w:t>are steered to the same position, a</w:t>
      </w:r>
      <w:r w:rsidR="00A5294D">
        <w:t>n average drop of</w:t>
      </w:r>
      <w:r w:rsidR="00F33025">
        <w:t xml:space="preserve"> 5dB </w:t>
      </w:r>
      <w:r w:rsidR="00F70A70" w:rsidRPr="00F70A70">
        <w:t>in the SINR is observed</w:t>
      </w:r>
      <w:r w:rsidR="00B16D8B">
        <w:t>.</w:t>
      </w:r>
      <w:r w:rsidR="006C6712">
        <w:t xml:space="preserve"> </w:t>
      </w:r>
    </w:p>
    <w:p w14:paraId="7E1315AE" w14:textId="552B5050" w:rsidR="00326ABD" w:rsidRDefault="007D30A6" w:rsidP="008F15E1">
      <w:pPr>
        <w:jc w:val="center"/>
      </w:pPr>
      <w:r>
        <w:rPr>
          <w:noProof/>
        </w:rPr>
        <w:drawing>
          <wp:inline distT="0" distB="0" distL="0" distR="0" wp14:anchorId="10732925" wp14:editId="53283095">
            <wp:extent cx="4322110" cy="316865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35480" cy="3178452"/>
                    </a:xfrm>
                    <a:prstGeom prst="rect">
                      <a:avLst/>
                    </a:prstGeom>
                    <a:noFill/>
                    <a:ln>
                      <a:noFill/>
                    </a:ln>
                  </pic:spPr>
                </pic:pic>
              </a:graphicData>
            </a:graphic>
          </wp:inline>
        </w:drawing>
      </w:r>
    </w:p>
    <w:p w14:paraId="428EFF24" w14:textId="501F6444" w:rsidR="00326ABD" w:rsidRDefault="00326ABD" w:rsidP="00326ABD">
      <w:pPr>
        <w:pStyle w:val="Caption"/>
        <w:jc w:val="center"/>
      </w:pPr>
      <w:bookmarkStart w:id="14" w:name="_Ref54168911"/>
      <w:r>
        <w:t xml:space="preserve">Figure </w:t>
      </w:r>
      <w:r>
        <w:fldChar w:fldCharType="begin"/>
      </w:r>
      <w:r>
        <w:instrText>SEQ Figure \* ARABIC</w:instrText>
      </w:r>
      <w:r>
        <w:fldChar w:fldCharType="separate"/>
      </w:r>
      <w:r>
        <w:rPr>
          <w:noProof/>
        </w:rPr>
        <w:t>7</w:t>
      </w:r>
      <w:r>
        <w:fldChar w:fldCharType="end"/>
      </w:r>
      <w:bookmarkEnd w:id="14"/>
      <w:r>
        <w:t xml:space="preserve"> </w:t>
      </w:r>
      <w:r w:rsidR="00CF2E57">
        <w:t>Example of s</w:t>
      </w:r>
      <w:r>
        <w:t>ervin</w:t>
      </w:r>
      <w:r w:rsidR="00D01FD3">
        <w:t>g</w:t>
      </w:r>
      <w:r>
        <w:t xml:space="preserve"> cell SINR trace</w:t>
      </w:r>
      <w:r w:rsidR="00D01FD3">
        <w:t xml:space="preserve"> </w:t>
      </w:r>
      <w:r w:rsidR="00ED33D1">
        <w:t xml:space="preserve">for </w:t>
      </w:r>
      <w:r w:rsidR="0045605A">
        <w:t xml:space="preserve">one </w:t>
      </w:r>
      <w:r w:rsidR="00ED33D1">
        <w:t>UE</w:t>
      </w:r>
      <w:r w:rsidR="00D01FD3">
        <w:t xml:space="preserve"> during the satellite and beam-switch in a</w:t>
      </w:r>
      <w:r w:rsidR="00ED33D1">
        <w:t>n</w:t>
      </w:r>
      <w:r w:rsidR="00D01FD3">
        <w:t xml:space="preserve"> earth fixe</w:t>
      </w:r>
      <w:r w:rsidR="00ED33D1">
        <w:t>d</w:t>
      </w:r>
      <w:r w:rsidR="00D01FD3">
        <w:t xml:space="preserve"> cell scenario</w:t>
      </w:r>
      <w:r>
        <w:t>.</w:t>
      </w:r>
    </w:p>
    <w:p w14:paraId="0418B2C6" w14:textId="77777777" w:rsidR="00326ABD" w:rsidRDefault="00326ABD" w:rsidP="005B4B3F"/>
    <w:p w14:paraId="6A33213A" w14:textId="53E54F4D" w:rsidR="00C613D8" w:rsidRDefault="004F0D9F">
      <w:pPr>
        <w:pStyle w:val="ListParagraph"/>
        <w:numPr>
          <w:ilvl w:val="0"/>
          <w:numId w:val="21"/>
        </w:numPr>
        <w:ind w:left="1843" w:hanging="1483"/>
        <w:rPr>
          <w:b/>
          <w:bCs/>
        </w:rPr>
      </w:pPr>
      <w:bookmarkStart w:id="15" w:name="_Ref47608841"/>
      <w:r w:rsidRPr="002E696A">
        <w:rPr>
          <w:b/>
          <w:bCs/>
        </w:rPr>
        <w:t>A reference c</w:t>
      </w:r>
      <w:r w:rsidR="00C613D8" w:rsidRPr="002E696A">
        <w:rPr>
          <w:b/>
          <w:bCs/>
        </w:rPr>
        <w:t>ell-switch functionality</w:t>
      </w:r>
      <w:r w:rsidR="00C12818">
        <w:rPr>
          <w:b/>
          <w:bCs/>
        </w:rPr>
        <w:t>, including the corresponding satellite beam</w:t>
      </w:r>
      <w:r w:rsidR="00C613D8" w:rsidRPr="002E696A">
        <w:rPr>
          <w:b/>
          <w:bCs/>
        </w:rPr>
        <w:t xml:space="preserve"> </w:t>
      </w:r>
      <w:r w:rsidR="00942E07">
        <w:rPr>
          <w:b/>
          <w:bCs/>
        </w:rPr>
        <w:t xml:space="preserve">sizes and </w:t>
      </w:r>
      <w:r w:rsidR="00C12818">
        <w:rPr>
          <w:b/>
          <w:bCs/>
        </w:rPr>
        <w:t>shapes</w:t>
      </w:r>
      <w:r w:rsidR="00942E07">
        <w:rPr>
          <w:b/>
          <w:bCs/>
        </w:rPr>
        <w:t xml:space="preserve">, </w:t>
      </w:r>
      <w:r w:rsidR="00C613D8" w:rsidRPr="002E696A">
        <w:rPr>
          <w:b/>
          <w:bCs/>
        </w:rPr>
        <w:t xml:space="preserve">needs to be defined </w:t>
      </w:r>
      <w:r w:rsidR="00CC6B0D" w:rsidRPr="002E696A">
        <w:rPr>
          <w:b/>
          <w:bCs/>
        </w:rPr>
        <w:t xml:space="preserve">and evaluated </w:t>
      </w:r>
      <w:r w:rsidR="00C613D8" w:rsidRPr="002E696A">
        <w:rPr>
          <w:b/>
          <w:bCs/>
        </w:rPr>
        <w:t xml:space="preserve">for earth-fixed cells </w:t>
      </w:r>
      <w:r w:rsidR="00CC6B0D" w:rsidRPr="002E696A">
        <w:rPr>
          <w:b/>
          <w:bCs/>
        </w:rPr>
        <w:t>scenarios</w:t>
      </w:r>
      <w:r w:rsidR="00C613D8" w:rsidRPr="002E696A">
        <w:rPr>
          <w:b/>
          <w:bCs/>
        </w:rPr>
        <w:t>.</w:t>
      </w:r>
      <w:bookmarkEnd w:id="15"/>
    </w:p>
    <w:p w14:paraId="1F2025BA" w14:textId="71085F9A" w:rsidR="00CF2BC3" w:rsidRPr="002E696A" w:rsidRDefault="00CF2BC3" w:rsidP="008F15E1">
      <w:pPr>
        <w:pStyle w:val="ListParagraph"/>
        <w:numPr>
          <w:ilvl w:val="0"/>
          <w:numId w:val="21"/>
        </w:numPr>
        <w:ind w:left="1843" w:hanging="1483"/>
        <w:rPr>
          <w:b/>
          <w:bCs/>
        </w:rPr>
      </w:pPr>
      <w:bookmarkStart w:id="16" w:name="_Ref54251200"/>
      <w:r>
        <w:rPr>
          <w:b/>
          <w:bCs/>
        </w:rPr>
        <w:t>Even a simple scenario involving two-satellites allows to observe mobility challenges in Earth-fixed beam scenario.</w:t>
      </w:r>
      <w:bookmarkEnd w:id="16"/>
    </w:p>
    <w:p w14:paraId="41C9A6C9" w14:textId="73630618" w:rsidR="00665B45" w:rsidRDefault="00665B45" w:rsidP="00665B45">
      <w:r>
        <w:t xml:space="preserve">The modelling assumptions for the reference earth fixed cells scenario could include parameters such as: </w:t>
      </w:r>
    </w:p>
    <w:p w14:paraId="70104701" w14:textId="77777777" w:rsidR="00665B45" w:rsidRPr="00C613D8" w:rsidRDefault="00665B45" w:rsidP="00665B45">
      <w:pPr>
        <w:pStyle w:val="ListParagraph"/>
        <w:numPr>
          <w:ilvl w:val="0"/>
          <w:numId w:val="13"/>
        </w:numPr>
        <w:rPr>
          <w:rFonts w:ascii="Times New Roman" w:hAnsi="Times New Roman"/>
          <w:sz w:val="20"/>
          <w:szCs w:val="20"/>
        </w:rPr>
      </w:pPr>
      <w:r>
        <w:rPr>
          <w:rFonts w:ascii="Times New Roman" w:hAnsi="Times New Roman"/>
          <w:sz w:val="20"/>
          <w:szCs w:val="20"/>
        </w:rPr>
        <w:t xml:space="preserve">minimum </w:t>
      </w:r>
      <w:r w:rsidRPr="00C613D8">
        <w:rPr>
          <w:rFonts w:ascii="Times New Roman" w:hAnsi="Times New Roman"/>
          <w:sz w:val="20"/>
          <w:szCs w:val="20"/>
        </w:rPr>
        <w:t>beam width</w:t>
      </w:r>
      <w:r>
        <w:rPr>
          <w:rFonts w:ascii="Times New Roman" w:hAnsi="Times New Roman"/>
          <w:sz w:val="20"/>
          <w:szCs w:val="20"/>
        </w:rPr>
        <w:t xml:space="preserve"> (potentially vs. elevation angle)</w:t>
      </w:r>
      <w:r w:rsidRPr="00C613D8">
        <w:rPr>
          <w:rFonts w:ascii="Times New Roman" w:hAnsi="Times New Roman"/>
          <w:sz w:val="20"/>
          <w:szCs w:val="20"/>
        </w:rPr>
        <w:t xml:space="preserve">, </w:t>
      </w:r>
    </w:p>
    <w:p w14:paraId="3B80F756" w14:textId="4344E6DC" w:rsidR="00665B45" w:rsidRPr="001274F3" w:rsidRDefault="00665B45" w:rsidP="00665B45">
      <w:pPr>
        <w:pStyle w:val="ListParagraph"/>
        <w:numPr>
          <w:ilvl w:val="0"/>
          <w:numId w:val="13"/>
        </w:numPr>
        <w:rPr>
          <w:rFonts w:ascii="Times New Roman" w:hAnsi="Times New Roman"/>
          <w:sz w:val="20"/>
          <w:szCs w:val="20"/>
        </w:rPr>
      </w:pPr>
      <w:r w:rsidRPr="00C613D8">
        <w:rPr>
          <w:rFonts w:ascii="Times New Roman" w:hAnsi="Times New Roman"/>
          <w:sz w:val="20"/>
          <w:szCs w:val="20"/>
        </w:rPr>
        <w:t xml:space="preserve">how the </w:t>
      </w:r>
      <w:r w:rsidR="000F2CA0">
        <w:rPr>
          <w:rFonts w:ascii="Times New Roman" w:hAnsi="Times New Roman"/>
          <w:sz w:val="20"/>
          <w:szCs w:val="20"/>
        </w:rPr>
        <w:t xml:space="preserve">source and target </w:t>
      </w:r>
      <w:r w:rsidRPr="00C613D8">
        <w:rPr>
          <w:rFonts w:ascii="Times New Roman" w:hAnsi="Times New Roman"/>
          <w:sz w:val="20"/>
          <w:szCs w:val="20"/>
        </w:rPr>
        <w:t>beam</w:t>
      </w:r>
      <w:r>
        <w:rPr>
          <w:rFonts w:ascii="Times New Roman" w:hAnsi="Times New Roman"/>
          <w:sz w:val="20"/>
          <w:szCs w:val="20"/>
        </w:rPr>
        <w:t>s</w:t>
      </w:r>
      <w:r w:rsidRPr="00C613D8">
        <w:rPr>
          <w:rFonts w:ascii="Times New Roman" w:hAnsi="Times New Roman"/>
          <w:sz w:val="20"/>
          <w:szCs w:val="20"/>
        </w:rPr>
        <w:t xml:space="preserve"> </w:t>
      </w:r>
      <w:r>
        <w:rPr>
          <w:rFonts w:ascii="Times New Roman" w:hAnsi="Times New Roman"/>
          <w:sz w:val="20"/>
          <w:szCs w:val="20"/>
        </w:rPr>
        <w:t>are</w:t>
      </w:r>
      <w:r w:rsidRPr="00C613D8">
        <w:rPr>
          <w:rFonts w:ascii="Times New Roman" w:hAnsi="Times New Roman"/>
          <w:sz w:val="20"/>
          <w:szCs w:val="20"/>
        </w:rPr>
        <w:t xml:space="preserve"> shaped </w:t>
      </w:r>
      <w:r>
        <w:rPr>
          <w:rFonts w:ascii="Times New Roman" w:hAnsi="Times New Roman"/>
          <w:sz w:val="20"/>
          <w:szCs w:val="20"/>
        </w:rPr>
        <w:t xml:space="preserve">vs. time (or elevation angle) </w:t>
      </w:r>
      <w:r w:rsidRPr="00C613D8">
        <w:rPr>
          <w:rFonts w:ascii="Times New Roman" w:hAnsi="Times New Roman"/>
          <w:sz w:val="20"/>
          <w:szCs w:val="20"/>
        </w:rPr>
        <w:t xml:space="preserve">and what </w:t>
      </w:r>
      <w:r>
        <w:rPr>
          <w:rFonts w:ascii="Times New Roman" w:hAnsi="Times New Roman"/>
          <w:sz w:val="20"/>
          <w:szCs w:val="20"/>
        </w:rPr>
        <w:t xml:space="preserve">is </w:t>
      </w:r>
      <w:r w:rsidRPr="00C613D8">
        <w:rPr>
          <w:rFonts w:ascii="Times New Roman" w:hAnsi="Times New Roman"/>
          <w:sz w:val="20"/>
          <w:szCs w:val="20"/>
        </w:rPr>
        <w:t>the update rate,</w:t>
      </w:r>
    </w:p>
    <w:p w14:paraId="657E8538" w14:textId="67CBBFDA" w:rsidR="00665B45" w:rsidRDefault="00665B45" w:rsidP="005B4B3F">
      <w:pPr>
        <w:pStyle w:val="ListParagraph"/>
        <w:numPr>
          <w:ilvl w:val="0"/>
          <w:numId w:val="13"/>
        </w:numPr>
        <w:rPr>
          <w:rFonts w:ascii="Times New Roman" w:hAnsi="Times New Roman"/>
          <w:sz w:val="20"/>
          <w:szCs w:val="20"/>
        </w:rPr>
      </w:pPr>
      <w:r w:rsidRPr="00C613D8">
        <w:rPr>
          <w:rFonts w:ascii="Times New Roman" w:hAnsi="Times New Roman"/>
          <w:sz w:val="20"/>
          <w:szCs w:val="20"/>
        </w:rPr>
        <w:t>beam pointing accuracy</w:t>
      </w:r>
      <w:r>
        <w:rPr>
          <w:rFonts w:ascii="Times New Roman" w:hAnsi="Times New Roman"/>
          <w:sz w:val="20"/>
          <w:szCs w:val="20"/>
        </w:rPr>
        <w:t>,</w:t>
      </w:r>
    </w:p>
    <w:p w14:paraId="67BD425C" w14:textId="384B8C74" w:rsidR="00665B45" w:rsidRPr="002E696A" w:rsidRDefault="00665B45">
      <w:pPr>
        <w:pStyle w:val="ListParagraph"/>
        <w:numPr>
          <w:ilvl w:val="0"/>
          <w:numId w:val="13"/>
        </w:numPr>
      </w:pPr>
      <w:r w:rsidRPr="002E696A">
        <w:rPr>
          <w:rFonts w:ascii="Times New Roman" w:hAnsi="Times New Roman"/>
          <w:sz w:val="20"/>
          <w:szCs w:val="20"/>
        </w:rPr>
        <w:t xml:space="preserve">cell-switch </w:t>
      </w:r>
      <w:r>
        <w:rPr>
          <w:rFonts w:ascii="Times New Roman" w:hAnsi="Times New Roman"/>
          <w:sz w:val="20"/>
          <w:szCs w:val="20"/>
        </w:rPr>
        <w:t>model.</w:t>
      </w:r>
    </w:p>
    <w:p w14:paraId="45581B47" w14:textId="77777777" w:rsidR="003C285D" w:rsidRPr="00C5545F" w:rsidRDefault="003C285D" w:rsidP="002E696A">
      <w:pPr>
        <w:pStyle w:val="ListParagraph"/>
      </w:pPr>
    </w:p>
    <w:p w14:paraId="22C67225" w14:textId="0CE697B1" w:rsidR="00A96737" w:rsidRPr="002E696A" w:rsidRDefault="00A96737" w:rsidP="002E696A">
      <w:pPr>
        <w:pStyle w:val="ListParagraph"/>
        <w:numPr>
          <w:ilvl w:val="0"/>
          <w:numId w:val="14"/>
        </w:numPr>
        <w:rPr>
          <w:b/>
          <w:bCs/>
        </w:rPr>
      </w:pPr>
      <w:bookmarkStart w:id="17" w:name="_Ref47608926"/>
      <w:r w:rsidRPr="002E696A">
        <w:rPr>
          <w:b/>
          <w:bCs/>
        </w:rPr>
        <w:t>RAN2 to define evaluation assumptions specific for the reference earth-fixed cells scenario, including the time duration one satellite is pointing a beam towards a fixed location and the potential use of beam-shaping and cell-switch functionalities.</w:t>
      </w:r>
      <w:bookmarkEnd w:id="17"/>
    </w:p>
    <w:p w14:paraId="4F547731" w14:textId="0BEF606E" w:rsidR="00A209D6" w:rsidRPr="006E13D1" w:rsidRDefault="00943E70" w:rsidP="00943E70">
      <w:r w:rsidRPr="00943E70">
        <w:t xml:space="preserve"> </w:t>
      </w:r>
    </w:p>
    <w:p w14:paraId="5FF2457F" w14:textId="39686820" w:rsidR="00A209D6" w:rsidRPr="006E13D1" w:rsidRDefault="009B2C1D" w:rsidP="00A209D6">
      <w:pPr>
        <w:pStyle w:val="Heading1"/>
      </w:pPr>
      <w:r>
        <w:lastRenderedPageBreak/>
        <w:t>3</w:t>
      </w:r>
      <w:bookmarkStart w:id="18" w:name="_GoBack"/>
      <w:bookmarkEnd w:id="18"/>
      <w:r w:rsidR="00A209D6" w:rsidRPr="006E13D1">
        <w:tab/>
      </w:r>
      <w:r w:rsidR="008C3057">
        <w:t>Conclusion</w:t>
      </w:r>
    </w:p>
    <w:p w14:paraId="6C60FFDC" w14:textId="7C781B30" w:rsidR="00A209D6" w:rsidRPr="006E13D1" w:rsidRDefault="008C3057" w:rsidP="00A209D6">
      <w:r>
        <w:t>Always echo the list of observations</w:t>
      </w:r>
      <w:r w:rsidR="00016557">
        <w:t xml:space="preserve"> and proposals</w:t>
      </w:r>
      <w:r w:rsidR="00A209D6" w:rsidRPr="006E13D1">
        <w:t>.</w:t>
      </w:r>
    </w:p>
    <w:p w14:paraId="68060CD7" w14:textId="3A99121C" w:rsidR="00A53100" w:rsidRDefault="00633572" w:rsidP="00A209D6">
      <w:pPr>
        <w:rPr>
          <w:b/>
          <w:bCs/>
        </w:rPr>
      </w:pPr>
      <w:r w:rsidRPr="004C1D51">
        <w:rPr>
          <w:b/>
          <w:bCs/>
        </w:rPr>
        <w:fldChar w:fldCharType="begin"/>
      </w:r>
      <w:r w:rsidRPr="004C1D51">
        <w:rPr>
          <w:b/>
          <w:bCs/>
        </w:rPr>
        <w:instrText xml:space="preserve"> REF _Ref47608765 \n \h </w:instrText>
      </w:r>
      <w:r w:rsidRPr="00633572">
        <w:rPr>
          <w:b/>
          <w:bCs/>
        </w:rPr>
        <w:instrText xml:space="preserve"> \* MERGEFORMAT </w:instrText>
      </w:r>
      <w:r w:rsidRPr="004C1D51">
        <w:rPr>
          <w:b/>
          <w:bCs/>
        </w:rPr>
      </w:r>
      <w:r w:rsidRPr="004C1D51">
        <w:rPr>
          <w:b/>
          <w:bCs/>
        </w:rPr>
        <w:fldChar w:fldCharType="separate"/>
      </w:r>
      <w:r w:rsidRPr="004C1D51">
        <w:rPr>
          <w:b/>
          <w:bCs/>
        </w:rPr>
        <w:t>Proposal 1:</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_Ref47608765 \h </w:instrText>
      </w:r>
      <w:r w:rsidRPr="00633572">
        <w:rPr>
          <w:b/>
          <w:bCs/>
        </w:rPr>
        <w:instrText xml:space="preserve"> \* MERGEFORMAT </w:instrText>
      </w:r>
      <w:r w:rsidRPr="004C1D51">
        <w:rPr>
          <w:b/>
          <w:bCs/>
        </w:rPr>
      </w:r>
      <w:r w:rsidRPr="004C1D51">
        <w:rPr>
          <w:b/>
          <w:bCs/>
        </w:rPr>
        <w:fldChar w:fldCharType="separate"/>
      </w:r>
      <w:r w:rsidR="002415F7" w:rsidRPr="002415F7">
        <w:rPr>
          <w:b/>
          <w:bCs/>
        </w:rPr>
        <w:t>RAN2 to determine the evaluation assumptions for the mobility investigations in NTN scenarios</w:t>
      </w:r>
      <w:r w:rsidR="002415F7" w:rsidRPr="002415F7" w:rsidDel="002415F7">
        <w:rPr>
          <w:b/>
          <w:bCs/>
        </w:rPr>
        <w:t xml:space="preserve"> </w:t>
      </w:r>
      <w:r w:rsidRPr="004C1D51">
        <w:rPr>
          <w:b/>
          <w:bCs/>
        </w:rPr>
        <w:fldChar w:fldCharType="end"/>
      </w:r>
    </w:p>
    <w:p w14:paraId="432B0A82" w14:textId="35F77F21" w:rsidR="00A209D6" w:rsidRPr="004C1D51" w:rsidRDefault="00633572" w:rsidP="00A209D6">
      <w:pPr>
        <w:rPr>
          <w:b/>
          <w:bCs/>
        </w:rPr>
      </w:pPr>
      <w:r w:rsidRPr="004C1D51">
        <w:rPr>
          <w:b/>
          <w:bCs/>
        </w:rPr>
        <w:fldChar w:fldCharType="begin"/>
      </w:r>
      <w:r w:rsidRPr="004C1D51">
        <w:rPr>
          <w:b/>
          <w:bCs/>
        </w:rPr>
        <w:instrText xml:space="preserve"> REF _Ref47608796 \n \h </w:instrText>
      </w:r>
      <w:r w:rsidRPr="00633572">
        <w:rPr>
          <w:b/>
          <w:bCs/>
        </w:rPr>
        <w:instrText xml:space="preserve"> \* MERGEFORMAT </w:instrText>
      </w:r>
      <w:r w:rsidRPr="004C1D51">
        <w:rPr>
          <w:b/>
          <w:bCs/>
        </w:rPr>
      </w:r>
      <w:r w:rsidRPr="004C1D51">
        <w:rPr>
          <w:b/>
          <w:bCs/>
        </w:rPr>
        <w:fldChar w:fldCharType="separate"/>
      </w:r>
      <w:r w:rsidRPr="004C1D51">
        <w:rPr>
          <w:b/>
          <w:bCs/>
        </w:rPr>
        <w:t>Observation 1:</w:t>
      </w:r>
      <w:r w:rsidRPr="004C1D51">
        <w:rPr>
          <w:b/>
          <w:bCs/>
        </w:rPr>
        <w:fldChar w:fldCharType="end"/>
      </w:r>
      <w:r w:rsidRPr="004C1D51">
        <w:rPr>
          <w:b/>
          <w:bCs/>
        </w:rPr>
        <w:t xml:space="preserve"> </w:t>
      </w:r>
      <w:r w:rsidR="000B562B">
        <w:rPr>
          <w:b/>
          <w:bCs/>
        </w:rPr>
        <w:fldChar w:fldCharType="begin"/>
      </w:r>
      <w:r w:rsidR="000B562B">
        <w:rPr>
          <w:b/>
          <w:bCs/>
        </w:rPr>
        <w:instrText xml:space="preserve"> REF _Ref54022953 \h </w:instrText>
      </w:r>
      <w:r w:rsidR="000B562B">
        <w:rPr>
          <w:b/>
          <w:bCs/>
        </w:rPr>
      </w:r>
      <w:r w:rsidR="000B562B">
        <w:rPr>
          <w:b/>
          <w:bCs/>
        </w:rPr>
        <w:fldChar w:fldCharType="separate"/>
      </w:r>
      <w:r w:rsidR="000B562B" w:rsidRPr="008F15E1">
        <w:rPr>
          <w:b/>
          <w:bCs/>
        </w:rPr>
        <w:t>3GPP model (in line with TR 38.811) leads to 30 – 40 times more LOS/NLOS transitions compared to other models, such as ray-tracing based or 2-state Markov chain based.</w:t>
      </w:r>
      <w:r w:rsidR="000B562B">
        <w:rPr>
          <w:b/>
          <w:bCs/>
        </w:rPr>
        <w:fldChar w:fldCharType="end"/>
      </w:r>
      <w:r w:rsidR="000B562B" w:rsidRPr="004C1D51" w:rsidDel="000B562B">
        <w:rPr>
          <w:b/>
          <w:bCs/>
        </w:rPr>
        <w:t xml:space="preserve"> </w:t>
      </w:r>
    </w:p>
    <w:p w14:paraId="653EED19" w14:textId="75864D62" w:rsidR="00A209D6" w:rsidRPr="004C1D51" w:rsidRDefault="00633572" w:rsidP="00A209D6">
      <w:pPr>
        <w:rPr>
          <w:b/>
          <w:bCs/>
        </w:rPr>
      </w:pPr>
      <w:r w:rsidRPr="004C1D51">
        <w:rPr>
          <w:b/>
          <w:bCs/>
        </w:rPr>
        <w:fldChar w:fldCharType="begin"/>
      </w:r>
      <w:r w:rsidRPr="004C1D51">
        <w:rPr>
          <w:b/>
          <w:bCs/>
        </w:rPr>
        <w:instrText xml:space="preserve"> REF _Ref47608819 \r \h </w:instrText>
      </w:r>
      <w:r w:rsidRPr="00633572">
        <w:rPr>
          <w:b/>
          <w:bCs/>
        </w:rPr>
        <w:instrText xml:space="preserve"> \* MERGEFORMAT </w:instrText>
      </w:r>
      <w:r w:rsidRPr="004C1D51">
        <w:rPr>
          <w:b/>
          <w:bCs/>
        </w:rPr>
      </w:r>
      <w:r w:rsidRPr="004C1D51">
        <w:rPr>
          <w:b/>
          <w:bCs/>
        </w:rPr>
        <w:fldChar w:fldCharType="separate"/>
      </w:r>
      <w:r w:rsidRPr="004C1D51">
        <w:rPr>
          <w:b/>
          <w:bCs/>
        </w:rPr>
        <w:t>Proposal 2:</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_Ref47608819 \h </w:instrText>
      </w:r>
      <w:r w:rsidRPr="00633572">
        <w:rPr>
          <w:b/>
          <w:bCs/>
        </w:rPr>
        <w:instrText xml:space="preserve"> \* MERGEFORMAT </w:instrText>
      </w:r>
      <w:r w:rsidRPr="004C1D51">
        <w:rPr>
          <w:b/>
          <w:bCs/>
        </w:rPr>
      </w:r>
      <w:r w:rsidRPr="004C1D51">
        <w:rPr>
          <w:b/>
          <w:bCs/>
        </w:rPr>
        <w:fldChar w:fldCharType="separate"/>
      </w:r>
      <w:r w:rsidR="008A70E9" w:rsidRPr="008A70E9">
        <w:rPr>
          <w:b/>
          <w:bCs/>
        </w:rPr>
        <w:t>RAN2 to discuss a LOS probability model including the time correlation, for mobility evaluations. If needed, consult other RAN WGs</w:t>
      </w:r>
      <w:r w:rsidRPr="00633572">
        <w:rPr>
          <w:b/>
          <w:bCs/>
        </w:rPr>
        <w:t>.</w:t>
      </w:r>
      <w:r w:rsidRPr="004C1D51">
        <w:rPr>
          <w:b/>
          <w:bCs/>
        </w:rPr>
        <w:fldChar w:fldCharType="end"/>
      </w:r>
    </w:p>
    <w:p w14:paraId="33702E34" w14:textId="183F1F1D" w:rsidR="00633572" w:rsidRDefault="00633572" w:rsidP="00A209D6">
      <w:pPr>
        <w:rPr>
          <w:b/>
          <w:bCs/>
        </w:rPr>
      </w:pPr>
      <w:r w:rsidRPr="004C1D51">
        <w:rPr>
          <w:b/>
          <w:bCs/>
        </w:rPr>
        <w:fldChar w:fldCharType="begin"/>
      </w:r>
      <w:r w:rsidRPr="004C1D51">
        <w:rPr>
          <w:b/>
          <w:bCs/>
        </w:rPr>
        <w:instrText xml:space="preserve"> REF _Ref47608841 \r \h </w:instrText>
      </w:r>
      <w:r w:rsidRPr="00633572">
        <w:rPr>
          <w:b/>
          <w:bCs/>
        </w:rPr>
        <w:instrText xml:space="preserve"> \* MERGEFORMAT </w:instrText>
      </w:r>
      <w:r w:rsidRPr="004C1D51">
        <w:rPr>
          <w:b/>
          <w:bCs/>
        </w:rPr>
      </w:r>
      <w:r w:rsidRPr="004C1D51">
        <w:rPr>
          <w:b/>
          <w:bCs/>
        </w:rPr>
        <w:fldChar w:fldCharType="separate"/>
      </w:r>
      <w:r w:rsidR="006D0258">
        <w:rPr>
          <w:b/>
          <w:bCs/>
        </w:rPr>
        <w:fldChar w:fldCharType="begin"/>
      </w:r>
      <w:r w:rsidR="006D0258">
        <w:rPr>
          <w:b/>
          <w:bCs/>
        </w:rPr>
        <w:instrText xml:space="preserve"> REF _Ref47608796 \r \h </w:instrText>
      </w:r>
      <w:r w:rsidR="006D0258">
        <w:rPr>
          <w:b/>
          <w:bCs/>
        </w:rPr>
      </w:r>
      <w:r w:rsidR="006D0258">
        <w:rPr>
          <w:b/>
          <w:bCs/>
        </w:rPr>
        <w:fldChar w:fldCharType="separate"/>
      </w:r>
      <w:r w:rsidR="006D0258">
        <w:rPr>
          <w:b/>
          <w:bCs/>
        </w:rPr>
        <w:t>Observation 2:</w:t>
      </w:r>
      <w:r w:rsidR="006D0258">
        <w:rPr>
          <w:b/>
          <w:bCs/>
        </w:rPr>
        <w:fldChar w:fldCharType="end"/>
      </w:r>
      <w:r w:rsidR="002C34AC">
        <w:rPr>
          <w:b/>
          <w:bCs/>
        </w:rPr>
        <w:t>:</w:t>
      </w:r>
      <w:r w:rsidRPr="004C1D51">
        <w:rPr>
          <w:b/>
          <w:bCs/>
        </w:rPr>
        <w:fldChar w:fldCharType="end"/>
      </w:r>
      <w:r w:rsidRPr="004C1D51">
        <w:rPr>
          <w:b/>
          <w:bCs/>
        </w:rPr>
        <w:t xml:space="preserve"> </w:t>
      </w:r>
      <w:r w:rsidR="006D0258">
        <w:rPr>
          <w:b/>
          <w:bCs/>
        </w:rPr>
        <w:fldChar w:fldCharType="begin"/>
      </w:r>
      <w:r w:rsidR="006D0258">
        <w:rPr>
          <w:b/>
          <w:bCs/>
        </w:rPr>
        <w:instrText xml:space="preserve"> REF _Ref47608796 \h </w:instrText>
      </w:r>
      <w:r w:rsidR="006D0258">
        <w:rPr>
          <w:b/>
          <w:bCs/>
        </w:rPr>
      </w:r>
      <w:r w:rsidR="006D0258">
        <w:rPr>
          <w:b/>
          <w:bCs/>
        </w:rPr>
        <w:fldChar w:fldCharType="separate"/>
      </w:r>
      <w:r w:rsidR="006D0258" w:rsidRPr="002E696A">
        <w:rPr>
          <w:b/>
          <w:bCs/>
        </w:rPr>
        <w:t>The reference multiple satellite scenario to be used in RAN2 mobility studies can be defined as one satellite orbit, with 2 or 3 consecutive satellites only, with a certain inter-satellite distance, each satellite having a certain beam layout, beam size and frequency re-use pattern.</w:t>
      </w:r>
      <w:r w:rsidR="006D0258">
        <w:rPr>
          <w:b/>
          <w:bCs/>
        </w:rPr>
        <w:fldChar w:fldCharType="end"/>
      </w:r>
    </w:p>
    <w:p w14:paraId="4C01F6A9" w14:textId="093561C7" w:rsidR="000B562B" w:rsidRDefault="000B562B" w:rsidP="00A209D6">
      <w:pPr>
        <w:rPr>
          <w:b/>
          <w:bCs/>
        </w:rPr>
      </w:pPr>
      <w:r>
        <w:rPr>
          <w:b/>
          <w:bCs/>
        </w:rPr>
        <w:fldChar w:fldCharType="begin"/>
      </w:r>
      <w:r>
        <w:rPr>
          <w:b/>
          <w:bCs/>
        </w:rPr>
        <w:instrText xml:space="preserve"> REF _Ref54023031 \r \h </w:instrText>
      </w:r>
      <w:r>
        <w:rPr>
          <w:b/>
          <w:bCs/>
        </w:rPr>
      </w:r>
      <w:r>
        <w:rPr>
          <w:b/>
          <w:bCs/>
        </w:rPr>
        <w:fldChar w:fldCharType="separate"/>
      </w:r>
      <w:r>
        <w:rPr>
          <w:b/>
          <w:bCs/>
        </w:rPr>
        <w:t>Observation 3:</w:t>
      </w:r>
      <w:r>
        <w:rPr>
          <w:b/>
          <w:bCs/>
        </w:rPr>
        <w:fldChar w:fldCharType="end"/>
      </w:r>
      <w:r>
        <w:rPr>
          <w:b/>
          <w:bCs/>
        </w:rPr>
        <w:t xml:space="preserve"> </w:t>
      </w:r>
      <w:r>
        <w:rPr>
          <w:b/>
          <w:bCs/>
        </w:rPr>
        <w:fldChar w:fldCharType="begin"/>
      </w:r>
      <w:r>
        <w:rPr>
          <w:b/>
          <w:bCs/>
        </w:rPr>
        <w:instrText xml:space="preserve"> REF _Ref54023031 \h </w:instrText>
      </w:r>
      <w:r>
        <w:rPr>
          <w:b/>
          <w:bCs/>
        </w:rPr>
      </w:r>
      <w:r>
        <w:rPr>
          <w:b/>
          <w:bCs/>
        </w:rPr>
        <w:fldChar w:fldCharType="separate"/>
      </w:r>
      <w:r>
        <w:rPr>
          <w:b/>
          <w:bCs/>
        </w:rPr>
        <w:t xml:space="preserve">For the </w:t>
      </w:r>
      <w:r w:rsidRPr="005038BE">
        <w:rPr>
          <w:b/>
          <w:bCs/>
        </w:rPr>
        <w:t>transparent satellite</w:t>
      </w:r>
      <w:r w:rsidRPr="002E696A">
        <w:rPr>
          <w:b/>
          <w:bCs/>
        </w:rPr>
        <w:t xml:space="preserve"> </w:t>
      </w:r>
      <w:r>
        <w:rPr>
          <w:b/>
          <w:bCs/>
        </w:rPr>
        <w:t>payload scenarios, i</w:t>
      </w:r>
      <w:r w:rsidRPr="002E696A">
        <w:rPr>
          <w:b/>
          <w:bCs/>
        </w:rPr>
        <w:t xml:space="preserve">t is beneficial </w:t>
      </w:r>
      <w:r>
        <w:rPr>
          <w:b/>
          <w:bCs/>
        </w:rPr>
        <w:t xml:space="preserve">to have a model assumed for the signal </w:t>
      </w:r>
      <w:r w:rsidRPr="002E696A">
        <w:rPr>
          <w:b/>
          <w:bCs/>
        </w:rPr>
        <w:t>gain</w:t>
      </w:r>
      <w:r>
        <w:rPr>
          <w:b/>
          <w:bCs/>
        </w:rPr>
        <w:t>/amplification</w:t>
      </w:r>
      <w:r w:rsidRPr="002E696A">
        <w:rPr>
          <w:b/>
          <w:bCs/>
        </w:rPr>
        <w:t xml:space="preserve"> factors</w:t>
      </w:r>
      <w:r>
        <w:rPr>
          <w:b/>
          <w:bCs/>
        </w:rPr>
        <w:t xml:space="preserve"> applied at the satellite between the feeder and service links.</w:t>
      </w:r>
      <w:r>
        <w:rPr>
          <w:b/>
          <w:bCs/>
        </w:rPr>
        <w:fldChar w:fldCharType="end"/>
      </w:r>
    </w:p>
    <w:p w14:paraId="5FF4BDF9" w14:textId="7E1D53B5" w:rsidR="000B562B" w:rsidRPr="004C1D51" w:rsidRDefault="000B562B" w:rsidP="00A209D6">
      <w:pPr>
        <w:rPr>
          <w:b/>
          <w:bCs/>
        </w:rPr>
      </w:pPr>
      <w:r>
        <w:rPr>
          <w:b/>
          <w:bCs/>
        </w:rPr>
        <w:fldChar w:fldCharType="begin"/>
      </w:r>
      <w:r>
        <w:rPr>
          <w:b/>
          <w:bCs/>
        </w:rPr>
        <w:instrText xml:space="preserve"> REF _Ref47608841 \r \h </w:instrText>
      </w:r>
      <w:r>
        <w:rPr>
          <w:b/>
          <w:bCs/>
        </w:rPr>
      </w:r>
      <w:r>
        <w:rPr>
          <w:b/>
          <w:bCs/>
        </w:rPr>
        <w:fldChar w:fldCharType="separate"/>
      </w:r>
      <w:r>
        <w:rPr>
          <w:b/>
          <w:bCs/>
        </w:rPr>
        <w:t>Observation 4:</w:t>
      </w:r>
      <w:r>
        <w:rPr>
          <w:b/>
          <w:bCs/>
        </w:rPr>
        <w:fldChar w:fldCharType="end"/>
      </w:r>
      <w:r>
        <w:rPr>
          <w:b/>
          <w:bCs/>
        </w:rPr>
        <w:t xml:space="preserve"> </w:t>
      </w:r>
      <w:r>
        <w:rPr>
          <w:b/>
          <w:bCs/>
        </w:rPr>
        <w:fldChar w:fldCharType="begin"/>
      </w:r>
      <w:r>
        <w:rPr>
          <w:b/>
          <w:bCs/>
        </w:rPr>
        <w:instrText xml:space="preserve"> REF _Ref47608841 \h </w:instrText>
      </w:r>
      <w:r>
        <w:rPr>
          <w:b/>
          <w:bCs/>
        </w:rPr>
      </w:r>
      <w:r>
        <w:rPr>
          <w:b/>
          <w:bCs/>
        </w:rPr>
        <w:fldChar w:fldCharType="separate"/>
      </w:r>
      <w:r w:rsidR="000174B5" w:rsidRPr="002E696A">
        <w:rPr>
          <w:b/>
          <w:bCs/>
        </w:rPr>
        <w:t>A reference cell-switch functionality</w:t>
      </w:r>
      <w:r w:rsidR="000174B5">
        <w:rPr>
          <w:b/>
          <w:bCs/>
        </w:rPr>
        <w:t>, including the corresponding satellite beam</w:t>
      </w:r>
      <w:r w:rsidR="000174B5" w:rsidRPr="002E696A">
        <w:rPr>
          <w:b/>
          <w:bCs/>
        </w:rPr>
        <w:t xml:space="preserve"> </w:t>
      </w:r>
      <w:r w:rsidR="000174B5">
        <w:rPr>
          <w:b/>
          <w:bCs/>
        </w:rPr>
        <w:t xml:space="preserve">sizes and shapes, </w:t>
      </w:r>
      <w:r w:rsidR="000174B5" w:rsidRPr="002E696A">
        <w:rPr>
          <w:b/>
          <w:bCs/>
        </w:rPr>
        <w:t>needs to be defined and evaluated for earth-fixed cells scenarios.</w:t>
      </w:r>
      <w:r>
        <w:rPr>
          <w:b/>
          <w:bCs/>
        </w:rPr>
        <w:fldChar w:fldCharType="end"/>
      </w:r>
    </w:p>
    <w:p w14:paraId="13783CB0" w14:textId="259E6CC0" w:rsidR="00A479D9" w:rsidRPr="004C1D51" w:rsidRDefault="00633572" w:rsidP="00A209D6">
      <w:pPr>
        <w:rPr>
          <w:b/>
          <w:bCs/>
        </w:rPr>
      </w:pPr>
      <w:r w:rsidRPr="004C1D51">
        <w:rPr>
          <w:b/>
          <w:bCs/>
        </w:rPr>
        <w:fldChar w:fldCharType="begin"/>
      </w:r>
      <w:r w:rsidRPr="004C1D51">
        <w:rPr>
          <w:b/>
          <w:bCs/>
        </w:rPr>
        <w:instrText xml:space="preserve"> REF _Ref47608861 \r \h </w:instrText>
      </w:r>
      <w:r w:rsidRPr="00633572">
        <w:rPr>
          <w:b/>
          <w:bCs/>
        </w:rPr>
        <w:instrText xml:space="preserve"> \* MERGEFORMAT </w:instrText>
      </w:r>
      <w:r w:rsidRPr="004C1D51">
        <w:rPr>
          <w:b/>
          <w:bCs/>
        </w:rPr>
      </w:r>
      <w:r w:rsidRPr="004C1D51">
        <w:rPr>
          <w:b/>
          <w:bCs/>
        </w:rPr>
        <w:fldChar w:fldCharType="separate"/>
      </w:r>
      <w:r w:rsidRPr="004C1D51">
        <w:rPr>
          <w:b/>
          <w:bCs/>
        </w:rPr>
        <w:t>Proposal 3:</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_Ref47608861 \h </w:instrText>
      </w:r>
      <w:r w:rsidRPr="00633572">
        <w:rPr>
          <w:b/>
          <w:bCs/>
        </w:rPr>
        <w:instrText xml:space="preserve"> \* MERGEFORMAT </w:instrText>
      </w:r>
      <w:r w:rsidRPr="004C1D51">
        <w:rPr>
          <w:b/>
          <w:bCs/>
        </w:rPr>
      </w:r>
      <w:r w:rsidRPr="004C1D51">
        <w:rPr>
          <w:b/>
          <w:bCs/>
        </w:rPr>
        <w:fldChar w:fldCharType="separate"/>
      </w:r>
      <w:r w:rsidRPr="00633572">
        <w:rPr>
          <w:b/>
          <w:bCs/>
        </w:rPr>
        <w:t>RAN2 to discuss how the shadow fading and fast fading</w:t>
      </w:r>
      <w:r w:rsidRPr="004C1D51">
        <w:rPr>
          <w:b/>
          <w:bCs/>
        </w:rPr>
        <w:t xml:space="preserve"> </w:t>
      </w:r>
      <w:r w:rsidRPr="00633572">
        <w:rPr>
          <w:b/>
          <w:bCs/>
        </w:rPr>
        <w:t>channel model parameters can be gradually changed as a function of satellite elevation angle.</w:t>
      </w:r>
      <w:r w:rsidRPr="004C1D51">
        <w:rPr>
          <w:b/>
          <w:bCs/>
        </w:rPr>
        <w:fldChar w:fldCharType="end"/>
      </w:r>
    </w:p>
    <w:p w14:paraId="1EC6F389" w14:textId="5302D4B9" w:rsidR="00633572" w:rsidRPr="004C1D51" w:rsidRDefault="00633572" w:rsidP="00A209D6">
      <w:pPr>
        <w:rPr>
          <w:b/>
          <w:bCs/>
        </w:rPr>
      </w:pPr>
      <w:r w:rsidRPr="004C1D51">
        <w:rPr>
          <w:b/>
          <w:bCs/>
        </w:rPr>
        <w:fldChar w:fldCharType="begin"/>
      </w:r>
      <w:r w:rsidRPr="004C1D51">
        <w:rPr>
          <w:b/>
          <w:bCs/>
        </w:rPr>
        <w:instrText xml:space="preserve"> REF _Ref47608878 \r \h </w:instrText>
      </w:r>
      <w:r w:rsidRPr="00633572">
        <w:rPr>
          <w:b/>
          <w:bCs/>
        </w:rPr>
        <w:instrText xml:space="preserve"> \* MERGEFORMAT </w:instrText>
      </w:r>
      <w:r w:rsidRPr="004C1D51">
        <w:rPr>
          <w:b/>
          <w:bCs/>
        </w:rPr>
      </w:r>
      <w:r w:rsidRPr="004C1D51">
        <w:rPr>
          <w:b/>
          <w:bCs/>
        </w:rPr>
        <w:fldChar w:fldCharType="separate"/>
      </w:r>
      <w:r w:rsidRPr="004C1D51">
        <w:rPr>
          <w:b/>
          <w:bCs/>
        </w:rPr>
        <w:t>Proposal 4:</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_Ref47608878 \h </w:instrText>
      </w:r>
      <w:r w:rsidRPr="00633572">
        <w:rPr>
          <w:b/>
          <w:bCs/>
        </w:rPr>
        <w:instrText xml:space="preserve"> \* MERGEFORMAT </w:instrText>
      </w:r>
      <w:r w:rsidRPr="004C1D51">
        <w:rPr>
          <w:b/>
          <w:bCs/>
        </w:rPr>
      </w:r>
      <w:r w:rsidRPr="004C1D51">
        <w:rPr>
          <w:b/>
          <w:bCs/>
        </w:rPr>
        <w:fldChar w:fldCharType="separate"/>
      </w:r>
      <w:r w:rsidRPr="00633572">
        <w:rPr>
          <w:b/>
          <w:bCs/>
        </w:rPr>
        <w:t>RAN2 to define a simplified multiple satellites scenario modelling approach for the reference mobility evaluations, using the existing RAN1 scenarios.</w:t>
      </w:r>
      <w:r w:rsidRPr="004C1D51">
        <w:rPr>
          <w:b/>
          <w:bCs/>
        </w:rPr>
        <w:fldChar w:fldCharType="end"/>
      </w:r>
    </w:p>
    <w:p w14:paraId="6F7CEE77" w14:textId="01C2D10C" w:rsidR="000174B5" w:rsidRPr="004C1D51" w:rsidRDefault="00633572" w:rsidP="00A209D6">
      <w:pPr>
        <w:rPr>
          <w:b/>
          <w:bCs/>
        </w:rPr>
      </w:pPr>
      <w:r w:rsidRPr="004C1D51">
        <w:rPr>
          <w:b/>
          <w:bCs/>
        </w:rPr>
        <w:fldChar w:fldCharType="begin"/>
      </w:r>
      <w:r w:rsidRPr="004C1D51">
        <w:rPr>
          <w:b/>
          <w:bCs/>
        </w:rPr>
        <w:instrText xml:space="preserve"> REF _Ref47608894 \r \h </w:instrText>
      </w:r>
      <w:r w:rsidRPr="00633572">
        <w:rPr>
          <w:b/>
          <w:bCs/>
        </w:rPr>
        <w:instrText xml:space="preserve"> \* MERGEFORMAT </w:instrText>
      </w:r>
      <w:r w:rsidRPr="004C1D51">
        <w:rPr>
          <w:b/>
          <w:bCs/>
        </w:rPr>
      </w:r>
      <w:r w:rsidRPr="004C1D51">
        <w:rPr>
          <w:b/>
          <w:bCs/>
        </w:rPr>
        <w:fldChar w:fldCharType="separate"/>
      </w:r>
      <w:r w:rsidRPr="004C1D51">
        <w:rPr>
          <w:b/>
          <w:bCs/>
        </w:rPr>
        <w:t>Proposal 5:</w:t>
      </w:r>
      <w:r w:rsidRPr="004C1D51">
        <w:rPr>
          <w:b/>
          <w:bCs/>
        </w:rPr>
        <w:fldChar w:fldCharType="end"/>
      </w:r>
      <w:r w:rsidR="000174B5" w:rsidRPr="000174B5">
        <w:rPr>
          <w:b/>
          <w:bCs/>
        </w:rPr>
        <w:t xml:space="preserve"> </w:t>
      </w:r>
      <w:r w:rsidR="000174B5" w:rsidRPr="005038BE">
        <w:rPr>
          <w:b/>
          <w:bCs/>
        </w:rPr>
        <w:t>RAN2 to define a reference NTN-GW - satellite feeder link delay function vs. time</w:t>
      </w:r>
      <w:r w:rsidR="000174B5">
        <w:rPr>
          <w:b/>
          <w:bCs/>
        </w:rPr>
        <w:t xml:space="preserve"> for the case when feeder link delay </w:t>
      </w:r>
      <w:r w:rsidR="000174B5" w:rsidRPr="00C27880">
        <w:rPr>
          <w:b/>
          <w:bCs/>
        </w:rPr>
        <w:t>pre-compensation</w:t>
      </w:r>
      <w:r w:rsidR="000174B5">
        <w:rPr>
          <w:b/>
          <w:bCs/>
        </w:rPr>
        <w:t xml:space="preserve"> is not used (i.e. the satellite is not the delay reference point for the UEs)</w:t>
      </w:r>
      <w:r w:rsidR="00312462">
        <w:rPr>
          <w:b/>
          <w:bCs/>
        </w:rPr>
        <w:t>.</w:t>
      </w:r>
    </w:p>
    <w:p w14:paraId="22C67AF6" w14:textId="7EB0A50C" w:rsidR="00A53100" w:rsidRDefault="00633572" w:rsidP="00A209D6">
      <w:pPr>
        <w:rPr>
          <w:b/>
          <w:bCs/>
        </w:rPr>
      </w:pPr>
      <w:r w:rsidRPr="004C1D51">
        <w:rPr>
          <w:b/>
          <w:bCs/>
        </w:rPr>
        <w:fldChar w:fldCharType="begin"/>
      </w:r>
      <w:r w:rsidRPr="004C1D51">
        <w:rPr>
          <w:b/>
          <w:bCs/>
        </w:rPr>
        <w:instrText xml:space="preserve"> REF _Ref47608911 \n \h </w:instrText>
      </w:r>
      <w:r w:rsidRPr="00633572">
        <w:rPr>
          <w:b/>
          <w:bCs/>
        </w:rPr>
        <w:instrText xml:space="preserve"> \* MERGEFORMAT </w:instrText>
      </w:r>
      <w:r w:rsidRPr="004C1D51">
        <w:rPr>
          <w:b/>
          <w:bCs/>
        </w:rPr>
      </w:r>
      <w:r w:rsidRPr="004C1D51">
        <w:rPr>
          <w:b/>
          <w:bCs/>
        </w:rPr>
        <w:fldChar w:fldCharType="separate"/>
      </w:r>
      <w:r w:rsidRPr="004C1D51">
        <w:rPr>
          <w:b/>
          <w:bCs/>
        </w:rPr>
        <w:t>Proposal 6:</w:t>
      </w:r>
      <w:r w:rsidRPr="004C1D51">
        <w:rPr>
          <w:b/>
          <w:bCs/>
        </w:rPr>
        <w:fldChar w:fldCharType="end"/>
      </w:r>
      <w:r w:rsidR="00A53100" w:rsidRPr="00A53100">
        <w:t xml:space="preserve"> </w:t>
      </w:r>
      <w:r w:rsidR="00A53100" w:rsidRPr="00A53100">
        <w:rPr>
          <w:b/>
          <w:bCs/>
        </w:rPr>
        <w:t>Define a reference model for the feeder and service link signal amplification on-board the transparent satellite</w:t>
      </w:r>
    </w:p>
    <w:p w14:paraId="34E72343" w14:textId="1AF508AC" w:rsidR="00C50397" w:rsidRPr="004C1D51" w:rsidRDefault="00607400" w:rsidP="00A209D6">
      <w:pPr>
        <w:rPr>
          <w:b/>
          <w:bCs/>
        </w:rPr>
      </w:pPr>
      <w:r>
        <w:rPr>
          <w:b/>
          <w:bCs/>
        </w:rPr>
        <w:fldChar w:fldCharType="begin"/>
      </w:r>
      <w:r>
        <w:rPr>
          <w:b/>
          <w:bCs/>
        </w:rPr>
        <w:instrText xml:space="preserve"> REF _Ref54251200 \r \h </w:instrText>
      </w:r>
      <w:r>
        <w:rPr>
          <w:b/>
          <w:bCs/>
        </w:rPr>
      </w:r>
      <w:r>
        <w:rPr>
          <w:b/>
          <w:bCs/>
        </w:rPr>
        <w:fldChar w:fldCharType="separate"/>
      </w:r>
      <w:r>
        <w:rPr>
          <w:b/>
          <w:bCs/>
        </w:rPr>
        <w:t>Observation 5:</w:t>
      </w:r>
      <w:r>
        <w:rPr>
          <w:b/>
          <w:bCs/>
        </w:rPr>
        <w:fldChar w:fldCharType="end"/>
      </w:r>
      <w:r>
        <w:rPr>
          <w:b/>
          <w:bCs/>
        </w:rPr>
        <w:t xml:space="preserve"> </w:t>
      </w:r>
      <w:r>
        <w:rPr>
          <w:b/>
          <w:bCs/>
        </w:rPr>
        <w:fldChar w:fldCharType="begin"/>
      </w:r>
      <w:r>
        <w:rPr>
          <w:b/>
          <w:bCs/>
        </w:rPr>
        <w:instrText xml:space="preserve"> REF _Ref54251200 \h </w:instrText>
      </w:r>
      <w:r>
        <w:rPr>
          <w:b/>
          <w:bCs/>
        </w:rPr>
      </w:r>
      <w:r>
        <w:rPr>
          <w:b/>
          <w:bCs/>
        </w:rPr>
        <w:fldChar w:fldCharType="separate"/>
      </w:r>
      <w:r>
        <w:rPr>
          <w:b/>
          <w:bCs/>
        </w:rPr>
        <w:t>Even a simple scenario involving two-satellites allows to observe mobility challenges in Earth-fixed beam scenario.</w:t>
      </w:r>
      <w:r>
        <w:rPr>
          <w:b/>
          <w:bCs/>
        </w:rPr>
        <w:fldChar w:fldCharType="end"/>
      </w:r>
    </w:p>
    <w:p w14:paraId="35F222F4" w14:textId="7E28EE94" w:rsidR="00080512" w:rsidRPr="004C1D51" w:rsidRDefault="00633572" w:rsidP="00A209D6">
      <w:pPr>
        <w:rPr>
          <w:b/>
          <w:bCs/>
        </w:rPr>
      </w:pPr>
      <w:r w:rsidRPr="004C1D51">
        <w:rPr>
          <w:b/>
          <w:bCs/>
        </w:rPr>
        <w:fldChar w:fldCharType="begin"/>
      </w:r>
      <w:r w:rsidRPr="004C1D51">
        <w:rPr>
          <w:b/>
          <w:bCs/>
        </w:rPr>
        <w:instrText xml:space="preserve"> REF _Ref47608926 \r \h </w:instrText>
      </w:r>
      <w:r w:rsidRPr="00633572">
        <w:rPr>
          <w:b/>
          <w:bCs/>
        </w:rPr>
        <w:instrText xml:space="preserve"> \* MERGEFORMAT </w:instrText>
      </w:r>
      <w:r w:rsidRPr="004C1D51">
        <w:rPr>
          <w:b/>
          <w:bCs/>
        </w:rPr>
      </w:r>
      <w:r w:rsidRPr="004C1D51">
        <w:rPr>
          <w:b/>
          <w:bCs/>
        </w:rPr>
        <w:fldChar w:fldCharType="separate"/>
      </w:r>
      <w:r w:rsidRPr="004C1D51">
        <w:rPr>
          <w:b/>
          <w:bCs/>
        </w:rPr>
        <w:t>Proposal 7:</w:t>
      </w:r>
      <w:r w:rsidRPr="004C1D51">
        <w:rPr>
          <w:b/>
          <w:bCs/>
        </w:rPr>
        <w:fldChar w:fldCharType="end"/>
      </w:r>
      <w:r w:rsidRPr="004C1D51">
        <w:rPr>
          <w:b/>
          <w:bCs/>
        </w:rPr>
        <w:t xml:space="preserve"> </w:t>
      </w:r>
      <w:r w:rsidRPr="004C1D51">
        <w:rPr>
          <w:b/>
          <w:bCs/>
        </w:rPr>
        <w:fldChar w:fldCharType="begin"/>
      </w:r>
      <w:r w:rsidRPr="004C1D51">
        <w:rPr>
          <w:b/>
          <w:bCs/>
        </w:rPr>
        <w:instrText xml:space="preserve"> REF _Ref47608926 \h </w:instrText>
      </w:r>
      <w:r w:rsidRPr="00633572">
        <w:rPr>
          <w:b/>
          <w:bCs/>
        </w:rPr>
        <w:instrText xml:space="preserve"> \* MERGEFORMAT </w:instrText>
      </w:r>
      <w:r w:rsidRPr="004C1D51">
        <w:rPr>
          <w:b/>
          <w:bCs/>
        </w:rPr>
      </w:r>
      <w:r w:rsidRPr="004C1D51">
        <w:rPr>
          <w:b/>
          <w:bCs/>
        </w:rPr>
        <w:fldChar w:fldCharType="separate"/>
      </w:r>
      <w:r w:rsidRPr="00633572">
        <w:rPr>
          <w:b/>
          <w:bCs/>
        </w:rPr>
        <w:t>RAN2 to define evaluation assumptions specific for the reference earth-fixed cells scenario, including the time duration one satellite is pointing a beam towards a fixed location and the potential use of beam-shaping and cell-switch functionalities.</w:t>
      </w:r>
      <w:r w:rsidRPr="004C1D51">
        <w:rPr>
          <w:b/>
          <w:bCs/>
        </w:rPr>
        <w:fldChar w:fldCharType="end"/>
      </w:r>
    </w:p>
    <w:p w14:paraId="4E1629E3" w14:textId="01632B93" w:rsidR="00391C50" w:rsidRDefault="00391C50">
      <w:pPr>
        <w:pStyle w:val="Heading1"/>
      </w:pPr>
      <w:r>
        <w:t>References</w:t>
      </w:r>
    </w:p>
    <w:p w14:paraId="291FAD57" w14:textId="77777777" w:rsidR="006C2F97" w:rsidRPr="008F15E1" w:rsidRDefault="006C2F97" w:rsidP="006C2F97">
      <w:pPr>
        <w:pStyle w:val="ListParagraph"/>
        <w:numPr>
          <w:ilvl w:val="0"/>
          <w:numId w:val="9"/>
        </w:numPr>
        <w:rPr>
          <w:rFonts w:ascii="Times New Roman" w:hAnsi="Times New Roman"/>
          <w:iCs/>
          <w:sz w:val="20"/>
          <w:szCs w:val="20"/>
        </w:rPr>
      </w:pPr>
      <w:bookmarkStart w:id="19" w:name="_Ref45185613"/>
      <w:bookmarkStart w:id="20" w:name="_Ref45103500"/>
      <w:r w:rsidRPr="008F15E1">
        <w:rPr>
          <w:rFonts w:ascii="Times New Roman" w:hAnsi="Times New Roman"/>
          <w:iCs/>
          <w:sz w:val="20"/>
          <w:szCs w:val="20"/>
          <w:lang w:eastAsia="zh-CN"/>
        </w:rPr>
        <w:t xml:space="preserve">3GPP NR_NTN_solutions WI description, </w:t>
      </w:r>
      <w:hyperlink r:id="rId46" w:history="1">
        <w:r w:rsidRPr="008F15E1">
          <w:rPr>
            <w:rStyle w:val="Hyperlink"/>
            <w:rFonts w:ascii="Times New Roman" w:hAnsi="Times New Roman"/>
            <w:sz w:val="20"/>
            <w:szCs w:val="20"/>
            <w:lang w:eastAsia="ja-JP"/>
          </w:rPr>
          <w:t>RP-201256</w:t>
        </w:r>
      </w:hyperlink>
      <w:r w:rsidRPr="008F15E1">
        <w:rPr>
          <w:rFonts w:ascii="Times New Roman" w:hAnsi="Times New Roman"/>
          <w:sz w:val="20"/>
          <w:szCs w:val="20"/>
          <w:lang w:eastAsia="ja-JP"/>
        </w:rPr>
        <w:t xml:space="preserve">, </w:t>
      </w:r>
      <w:r w:rsidRPr="008F15E1">
        <w:rPr>
          <w:rFonts w:ascii="Times New Roman" w:hAnsi="Times New Roman"/>
          <w:i/>
          <w:sz w:val="20"/>
          <w:szCs w:val="20"/>
          <w:lang w:eastAsia="zh-CN"/>
        </w:rPr>
        <w:t>Solutions for NR to support non-terrestrial networks (NTN),</w:t>
      </w:r>
      <w:r w:rsidRPr="008F15E1">
        <w:rPr>
          <w:rFonts w:ascii="Times New Roman" w:hAnsi="Times New Roman"/>
          <w:iCs/>
          <w:sz w:val="20"/>
          <w:szCs w:val="20"/>
          <w:lang w:eastAsia="zh-CN"/>
        </w:rPr>
        <w:t xml:space="preserve"> July 2020.</w:t>
      </w:r>
      <w:bookmarkEnd w:id="19"/>
    </w:p>
    <w:p w14:paraId="7BF3B5B2" w14:textId="6A7C7C9D" w:rsidR="001C4049" w:rsidRPr="008F15E1" w:rsidRDefault="001C4049" w:rsidP="001C4049">
      <w:pPr>
        <w:pStyle w:val="ListParagraph"/>
        <w:numPr>
          <w:ilvl w:val="0"/>
          <w:numId w:val="9"/>
        </w:numPr>
        <w:rPr>
          <w:rFonts w:ascii="Times New Roman" w:hAnsi="Times New Roman"/>
          <w:iCs/>
          <w:sz w:val="20"/>
          <w:szCs w:val="20"/>
        </w:rPr>
      </w:pPr>
      <w:bookmarkStart w:id="21" w:name="_Ref45185621"/>
      <w:r w:rsidRPr="008F15E1">
        <w:rPr>
          <w:rFonts w:ascii="Times New Roman" w:hAnsi="Times New Roman"/>
          <w:sz w:val="20"/>
          <w:szCs w:val="20"/>
          <w:lang w:eastAsia="zh-CN"/>
        </w:rPr>
        <w:t>3</w:t>
      </w:r>
      <w:r w:rsidRPr="008F15E1">
        <w:rPr>
          <w:rFonts w:ascii="Times New Roman" w:hAnsi="Times New Roman"/>
          <w:sz w:val="20"/>
          <w:szCs w:val="20"/>
        </w:rPr>
        <w:t>G</w:t>
      </w:r>
      <w:r w:rsidRPr="008F15E1">
        <w:rPr>
          <w:rFonts w:ascii="Times New Roman" w:hAnsi="Times New Roman"/>
          <w:sz w:val="20"/>
          <w:szCs w:val="20"/>
          <w:lang w:eastAsia="zh-CN"/>
        </w:rPr>
        <w:t xml:space="preserve">PP </w:t>
      </w:r>
      <w:hyperlink r:id="rId47" w:history="1">
        <w:r w:rsidRPr="008F15E1">
          <w:rPr>
            <w:rStyle w:val="Hyperlink"/>
            <w:rFonts w:ascii="Times New Roman" w:hAnsi="Times New Roman"/>
            <w:sz w:val="20"/>
            <w:szCs w:val="20"/>
            <w:lang w:eastAsia="zh-CN"/>
          </w:rPr>
          <w:t>TR 38.821</w:t>
        </w:r>
      </w:hyperlink>
      <w:r w:rsidRPr="008F15E1">
        <w:rPr>
          <w:rFonts w:ascii="Times New Roman" w:hAnsi="Times New Roman"/>
          <w:sz w:val="20"/>
          <w:szCs w:val="20"/>
          <w:lang w:eastAsia="zh-CN"/>
        </w:rPr>
        <w:t xml:space="preserve"> V16.0.0, </w:t>
      </w:r>
      <w:r w:rsidRPr="008F15E1">
        <w:rPr>
          <w:rFonts w:ascii="Times New Roman" w:hAnsi="Times New Roman"/>
          <w:i/>
          <w:sz w:val="20"/>
          <w:szCs w:val="20"/>
          <w:lang w:eastAsia="zh-CN"/>
        </w:rPr>
        <w:t xml:space="preserve">Solutions for NR to support non-terrestrial networks (NTN), </w:t>
      </w:r>
      <w:r w:rsidRPr="008F15E1">
        <w:rPr>
          <w:rFonts w:ascii="Times New Roman" w:hAnsi="Times New Roman"/>
          <w:iCs/>
          <w:sz w:val="20"/>
          <w:szCs w:val="20"/>
          <w:lang w:eastAsia="zh-CN"/>
        </w:rPr>
        <w:t>December 2019.</w:t>
      </w:r>
      <w:bookmarkEnd w:id="20"/>
      <w:bookmarkEnd w:id="21"/>
    </w:p>
    <w:p w14:paraId="65F71326" w14:textId="5B50EEB6" w:rsidR="00C87384" w:rsidRPr="008F15E1" w:rsidRDefault="00C87384" w:rsidP="00C87384">
      <w:pPr>
        <w:pStyle w:val="ListParagraph"/>
        <w:numPr>
          <w:ilvl w:val="0"/>
          <w:numId w:val="9"/>
        </w:numPr>
        <w:rPr>
          <w:rFonts w:ascii="Times New Roman" w:hAnsi="Times New Roman"/>
          <w:iCs/>
          <w:sz w:val="20"/>
          <w:szCs w:val="20"/>
        </w:rPr>
      </w:pPr>
      <w:bookmarkStart w:id="22" w:name="_Ref45186589"/>
      <w:r w:rsidRPr="008F15E1">
        <w:rPr>
          <w:rFonts w:ascii="Times New Roman" w:hAnsi="Times New Roman"/>
          <w:sz w:val="20"/>
          <w:szCs w:val="20"/>
          <w:lang w:eastAsia="zh-CN"/>
        </w:rPr>
        <w:t>3</w:t>
      </w:r>
      <w:r w:rsidRPr="008F15E1">
        <w:rPr>
          <w:rFonts w:ascii="Times New Roman" w:hAnsi="Times New Roman"/>
          <w:sz w:val="20"/>
          <w:szCs w:val="20"/>
        </w:rPr>
        <w:t>G</w:t>
      </w:r>
      <w:r w:rsidRPr="008F15E1">
        <w:rPr>
          <w:rFonts w:ascii="Times New Roman" w:hAnsi="Times New Roman"/>
          <w:sz w:val="20"/>
          <w:szCs w:val="20"/>
          <w:lang w:eastAsia="zh-CN"/>
        </w:rPr>
        <w:t xml:space="preserve">PP </w:t>
      </w:r>
      <w:hyperlink r:id="rId48" w:history="1">
        <w:r w:rsidRPr="008F15E1">
          <w:rPr>
            <w:rStyle w:val="Hyperlink"/>
            <w:rFonts w:ascii="Times New Roman" w:hAnsi="Times New Roman"/>
            <w:sz w:val="20"/>
            <w:szCs w:val="20"/>
            <w:lang w:eastAsia="zh-CN"/>
          </w:rPr>
          <w:t>TR 38.811</w:t>
        </w:r>
      </w:hyperlink>
      <w:r w:rsidRPr="008F15E1">
        <w:rPr>
          <w:rFonts w:ascii="Times New Roman" w:hAnsi="Times New Roman"/>
          <w:sz w:val="20"/>
          <w:szCs w:val="20"/>
          <w:lang w:eastAsia="zh-CN"/>
        </w:rPr>
        <w:t xml:space="preserve"> V15.</w:t>
      </w:r>
      <w:r w:rsidR="00C756AA" w:rsidRPr="008F15E1">
        <w:rPr>
          <w:rFonts w:ascii="Times New Roman" w:hAnsi="Times New Roman"/>
          <w:sz w:val="20"/>
          <w:szCs w:val="20"/>
          <w:lang w:eastAsia="zh-CN"/>
        </w:rPr>
        <w:t>3</w:t>
      </w:r>
      <w:r w:rsidRPr="008F15E1">
        <w:rPr>
          <w:rFonts w:ascii="Times New Roman" w:hAnsi="Times New Roman"/>
          <w:sz w:val="20"/>
          <w:szCs w:val="20"/>
          <w:lang w:eastAsia="zh-CN"/>
        </w:rPr>
        <w:t xml:space="preserve">.0, </w:t>
      </w:r>
      <w:r w:rsidRPr="008F15E1">
        <w:rPr>
          <w:rFonts w:ascii="Times New Roman" w:hAnsi="Times New Roman"/>
          <w:i/>
          <w:iCs/>
          <w:sz w:val="20"/>
          <w:szCs w:val="20"/>
          <w:lang w:eastAsia="ja-JP"/>
        </w:rPr>
        <w:t xml:space="preserve">Study on </w:t>
      </w:r>
      <w:r w:rsidRPr="008F15E1">
        <w:rPr>
          <w:rFonts w:ascii="Times New Roman" w:hAnsi="Times New Roman"/>
          <w:i/>
          <w:iCs/>
          <w:sz w:val="20"/>
          <w:szCs w:val="20"/>
        </w:rPr>
        <w:t xml:space="preserve">New Radio </w:t>
      </w:r>
      <w:r w:rsidRPr="008F15E1">
        <w:rPr>
          <w:rFonts w:ascii="Times New Roman" w:hAnsi="Times New Roman"/>
          <w:i/>
          <w:iCs/>
          <w:sz w:val="20"/>
          <w:szCs w:val="20"/>
          <w:lang w:eastAsia="ja-JP"/>
        </w:rPr>
        <w:t>(NR) to support non-terrestrial networks</w:t>
      </w:r>
      <w:r w:rsidRPr="008F15E1">
        <w:rPr>
          <w:rFonts w:ascii="Times New Roman" w:hAnsi="Times New Roman"/>
          <w:i/>
          <w:sz w:val="20"/>
          <w:szCs w:val="20"/>
          <w:lang w:eastAsia="zh-CN"/>
        </w:rPr>
        <w:t xml:space="preserve">, </w:t>
      </w:r>
      <w:r w:rsidRPr="008F15E1">
        <w:rPr>
          <w:rFonts w:ascii="Times New Roman" w:hAnsi="Times New Roman"/>
          <w:iCs/>
          <w:sz w:val="20"/>
          <w:szCs w:val="20"/>
          <w:lang w:eastAsia="zh-CN"/>
        </w:rPr>
        <w:t>Ju</w:t>
      </w:r>
      <w:r w:rsidR="00C756AA" w:rsidRPr="008F15E1">
        <w:rPr>
          <w:rFonts w:ascii="Times New Roman" w:hAnsi="Times New Roman"/>
          <w:iCs/>
          <w:sz w:val="20"/>
          <w:szCs w:val="20"/>
          <w:lang w:eastAsia="zh-CN"/>
        </w:rPr>
        <w:t>ly</w:t>
      </w:r>
      <w:r w:rsidRPr="008F15E1">
        <w:rPr>
          <w:rFonts w:ascii="Times New Roman" w:hAnsi="Times New Roman"/>
          <w:iCs/>
          <w:sz w:val="20"/>
          <w:szCs w:val="20"/>
          <w:lang w:eastAsia="zh-CN"/>
        </w:rPr>
        <w:t xml:space="preserve"> 20</w:t>
      </w:r>
      <w:r w:rsidR="00C756AA" w:rsidRPr="008F15E1">
        <w:rPr>
          <w:rFonts w:ascii="Times New Roman" w:hAnsi="Times New Roman"/>
          <w:iCs/>
          <w:sz w:val="20"/>
          <w:szCs w:val="20"/>
          <w:lang w:eastAsia="zh-CN"/>
        </w:rPr>
        <w:t>20</w:t>
      </w:r>
      <w:r w:rsidRPr="008F15E1">
        <w:rPr>
          <w:rFonts w:ascii="Times New Roman" w:hAnsi="Times New Roman"/>
          <w:iCs/>
          <w:sz w:val="20"/>
          <w:szCs w:val="20"/>
          <w:lang w:eastAsia="zh-CN"/>
        </w:rPr>
        <w:t>.</w:t>
      </w:r>
      <w:bookmarkEnd w:id="22"/>
    </w:p>
    <w:bookmarkStart w:id="23" w:name="_Ref45186591"/>
    <w:p w14:paraId="084A440C" w14:textId="48E91CE4" w:rsidR="00923441" w:rsidRPr="008F15E1" w:rsidRDefault="00684613" w:rsidP="00C87384">
      <w:pPr>
        <w:pStyle w:val="ListParagraph"/>
        <w:numPr>
          <w:ilvl w:val="0"/>
          <w:numId w:val="9"/>
        </w:numPr>
        <w:rPr>
          <w:rFonts w:ascii="Times New Roman" w:hAnsi="Times New Roman"/>
          <w:i/>
          <w:sz w:val="20"/>
          <w:szCs w:val="20"/>
        </w:rPr>
      </w:pPr>
      <w:r w:rsidRPr="008F15E1">
        <w:rPr>
          <w:rFonts w:ascii="Times New Roman" w:hAnsi="Times New Roman"/>
          <w:iCs/>
          <w:sz w:val="20"/>
          <w:szCs w:val="20"/>
          <w:lang w:eastAsia="zh-CN"/>
        </w:rPr>
        <w:fldChar w:fldCharType="begin"/>
      </w:r>
      <w:r w:rsidRPr="008F15E1">
        <w:rPr>
          <w:rFonts w:ascii="Times New Roman" w:hAnsi="Times New Roman"/>
          <w:iCs/>
          <w:sz w:val="20"/>
          <w:szCs w:val="20"/>
          <w:lang w:eastAsia="zh-CN"/>
        </w:rPr>
        <w:instrText xml:space="preserve"> HYPERLINK "http://www.3gpp.org/ftp/TSG_RAN/TSG_RAN/TSGR_88e/Docs/RP-200717.zip" </w:instrText>
      </w:r>
      <w:r w:rsidRPr="008F15E1">
        <w:rPr>
          <w:rFonts w:ascii="Times New Roman" w:hAnsi="Times New Roman"/>
          <w:iCs/>
          <w:sz w:val="20"/>
          <w:szCs w:val="20"/>
          <w:lang w:eastAsia="zh-CN"/>
        </w:rPr>
        <w:fldChar w:fldCharType="separate"/>
      </w:r>
      <w:r w:rsidR="00923441" w:rsidRPr="008F15E1">
        <w:rPr>
          <w:rStyle w:val="Hyperlink"/>
          <w:rFonts w:ascii="Times New Roman" w:hAnsi="Times New Roman"/>
          <w:iCs/>
          <w:sz w:val="20"/>
          <w:szCs w:val="20"/>
          <w:lang w:eastAsia="zh-CN"/>
        </w:rPr>
        <w:t>RP-200717</w:t>
      </w:r>
      <w:r w:rsidRPr="008F15E1">
        <w:rPr>
          <w:rFonts w:ascii="Times New Roman" w:hAnsi="Times New Roman"/>
          <w:iCs/>
          <w:sz w:val="20"/>
          <w:szCs w:val="20"/>
          <w:lang w:eastAsia="zh-CN"/>
        </w:rPr>
        <w:fldChar w:fldCharType="end"/>
      </w:r>
      <w:r w:rsidR="00923441" w:rsidRPr="008F15E1">
        <w:rPr>
          <w:rFonts w:ascii="Times New Roman" w:hAnsi="Times New Roman"/>
          <w:iCs/>
          <w:sz w:val="20"/>
          <w:szCs w:val="20"/>
          <w:lang w:eastAsia="zh-CN"/>
        </w:rPr>
        <w:t xml:space="preserve">, </w:t>
      </w:r>
      <w:r w:rsidR="00923441" w:rsidRPr="008F15E1">
        <w:rPr>
          <w:rFonts w:ascii="Times New Roman" w:hAnsi="Times New Roman"/>
          <w:i/>
          <w:sz w:val="20"/>
          <w:szCs w:val="20"/>
          <w:lang w:eastAsia="zh-CN"/>
        </w:rPr>
        <w:t>Correction for inconsistent shadow fading parameters in NTN rural scenario</w:t>
      </w:r>
      <w:r w:rsidR="00923441" w:rsidRPr="008F15E1">
        <w:rPr>
          <w:rFonts w:ascii="Times New Roman" w:hAnsi="Times New Roman"/>
          <w:iCs/>
          <w:sz w:val="20"/>
          <w:szCs w:val="20"/>
          <w:lang w:eastAsia="zh-CN"/>
        </w:rPr>
        <w:t>, June 2020</w:t>
      </w:r>
      <w:bookmarkEnd w:id="23"/>
    </w:p>
    <w:bookmarkStart w:id="24" w:name="_Ref45187958"/>
    <w:p w14:paraId="520C2EFB" w14:textId="1229A08F" w:rsidR="00C65340" w:rsidRPr="008F15E1" w:rsidRDefault="00CC35A7" w:rsidP="00C87384">
      <w:pPr>
        <w:pStyle w:val="ListParagraph"/>
        <w:numPr>
          <w:ilvl w:val="0"/>
          <w:numId w:val="9"/>
        </w:numPr>
        <w:rPr>
          <w:rFonts w:ascii="Times New Roman" w:hAnsi="Times New Roman"/>
          <w:i/>
          <w:sz w:val="20"/>
          <w:szCs w:val="20"/>
        </w:rPr>
      </w:pPr>
      <w:r w:rsidRPr="008F15E1">
        <w:rPr>
          <w:rFonts w:ascii="Times New Roman" w:hAnsi="Times New Roman"/>
          <w:iCs/>
          <w:sz w:val="20"/>
          <w:szCs w:val="20"/>
          <w:lang w:eastAsia="zh-CN"/>
        </w:rPr>
        <w:fldChar w:fldCharType="begin"/>
      </w:r>
      <w:r w:rsidRPr="008F15E1">
        <w:rPr>
          <w:rFonts w:ascii="Times New Roman" w:hAnsi="Times New Roman"/>
          <w:iCs/>
          <w:sz w:val="20"/>
          <w:szCs w:val="20"/>
          <w:lang w:eastAsia="zh-CN"/>
        </w:rPr>
        <w:instrText xml:space="preserve"> HYPERLINK "https://www.itu.int/rec/R-REC-P.681-11-201908-I/en" </w:instrText>
      </w:r>
      <w:r w:rsidRPr="008F15E1">
        <w:rPr>
          <w:rFonts w:ascii="Times New Roman" w:hAnsi="Times New Roman"/>
          <w:iCs/>
          <w:sz w:val="20"/>
          <w:szCs w:val="20"/>
          <w:lang w:eastAsia="zh-CN"/>
        </w:rPr>
        <w:fldChar w:fldCharType="separate"/>
      </w:r>
      <w:r w:rsidR="00C65340" w:rsidRPr="008F15E1">
        <w:rPr>
          <w:rStyle w:val="Hyperlink"/>
          <w:rFonts w:ascii="Times New Roman" w:hAnsi="Times New Roman"/>
          <w:iCs/>
          <w:sz w:val="20"/>
          <w:szCs w:val="20"/>
          <w:lang w:eastAsia="zh-CN"/>
        </w:rPr>
        <w:t>ITU-R P.681-11</w:t>
      </w:r>
      <w:r w:rsidRPr="008F15E1">
        <w:rPr>
          <w:rFonts w:ascii="Times New Roman" w:hAnsi="Times New Roman"/>
          <w:iCs/>
          <w:sz w:val="20"/>
          <w:szCs w:val="20"/>
          <w:lang w:eastAsia="zh-CN"/>
        </w:rPr>
        <w:fldChar w:fldCharType="end"/>
      </w:r>
      <w:r w:rsidR="00C65340" w:rsidRPr="008F15E1">
        <w:rPr>
          <w:rFonts w:ascii="Times New Roman" w:hAnsi="Times New Roman"/>
          <w:iCs/>
          <w:sz w:val="20"/>
          <w:szCs w:val="20"/>
          <w:lang w:eastAsia="zh-CN"/>
        </w:rPr>
        <w:t xml:space="preserve">, </w:t>
      </w:r>
      <w:r w:rsidR="00C65340" w:rsidRPr="008F15E1">
        <w:rPr>
          <w:rFonts w:ascii="Times New Roman" w:hAnsi="Times New Roman"/>
          <w:i/>
          <w:sz w:val="20"/>
          <w:szCs w:val="20"/>
          <w:lang w:eastAsia="zh-CN"/>
        </w:rPr>
        <w:t>Propagation data required for the design systems in the land mobile-satellite service</w:t>
      </w:r>
      <w:r w:rsidR="00C65340" w:rsidRPr="008F15E1">
        <w:rPr>
          <w:rFonts w:ascii="Times New Roman" w:hAnsi="Times New Roman"/>
          <w:iCs/>
          <w:sz w:val="20"/>
          <w:szCs w:val="20"/>
          <w:lang w:eastAsia="zh-CN"/>
        </w:rPr>
        <w:t xml:space="preserve">, </w:t>
      </w:r>
      <w:r w:rsidRPr="008F15E1">
        <w:rPr>
          <w:rFonts w:ascii="Times New Roman" w:hAnsi="Times New Roman"/>
          <w:iCs/>
          <w:sz w:val="20"/>
          <w:szCs w:val="20"/>
          <w:lang w:eastAsia="zh-CN"/>
        </w:rPr>
        <w:t xml:space="preserve">November </w:t>
      </w:r>
      <w:r w:rsidR="00C65340" w:rsidRPr="008F15E1">
        <w:rPr>
          <w:rFonts w:ascii="Times New Roman" w:hAnsi="Times New Roman"/>
          <w:iCs/>
          <w:sz w:val="20"/>
          <w:szCs w:val="20"/>
          <w:lang w:eastAsia="zh-CN"/>
        </w:rPr>
        <w:t>2019.</w:t>
      </w:r>
      <w:bookmarkEnd w:id="24"/>
    </w:p>
    <w:bookmarkStart w:id="25" w:name="_Ref31184866"/>
    <w:p w14:paraId="6AB6A5A6" w14:textId="2EF9F123" w:rsidR="00836D38" w:rsidRPr="008F15E1" w:rsidRDefault="00836D38" w:rsidP="00836D38">
      <w:pPr>
        <w:pStyle w:val="ListParagraph"/>
        <w:numPr>
          <w:ilvl w:val="0"/>
          <w:numId w:val="9"/>
        </w:numPr>
        <w:spacing w:after="0" w:line="240" w:lineRule="auto"/>
        <w:rPr>
          <w:rFonts w:ascii="Times New Roman" w:hAnsi="Times New Roman"/>
          <w:sz w:val="20"/>
          <w:szCs w:val="20"/>
        </w:rPr>
      </w:pPr>
      <w:r w:rsidRPr="008F15E1">
        <w:rPr>
          <w:rFonts w:ascii="Times New Roman" w:hAnsi="Times New Roman"/>
          <w:sz w:val="20"/>
          <w:szCs w:val="20"/>
        </w:rPr>
        <w:fldChar w:fldCharType="begin"/>
      </w:r>
      <w:r w:rsidRPr="008F15E1">
        <w:rPr>
          <w:rFonts w:ascii="Times New Roman" w:hAnsi="Times New Roman"/>
          <w:sz w:val="20"/>
          <w:szCs w:val="20"/>
        </w:rPr>
        <w:instrText xml:space="preserve"> HYPERLINK "http://www.3gpp.org/ftp/TSG_RAN/WG1_RL1/TSGR1_98/Docs/R1-1908251.zip" </w:instrText>
      </w:r>
      <w:r w:rsidRPr="008F15E1">
        <w:rPr>
          <w:rFonts w:ascii="Times New Roman" w:hAnsi="Times New Roman"/>
          <w:sz w:val="20"/>
          <w:szCs w:val="20"/>
        </w:rPr>
        <w:fldChar w:fldCharType="separate"/>
      </w:r>
      <w:r w:rsidRPr="008F15E1">
        <w:rPr>
          <w:rStyle w:val="Hyperlink"/>
          <w:rFonts w:ascii="Times New Roman" w:hAnsi="Times New Roman"/>
          <w:sz w:val="20"/>
          <w:szCs w:val="20"/>
        </w:rPr>
        <w:t>R1-1908251</w:t>
      </w:r>
      <w:r w:rsidRPr="008F15E1">
        <w:rPr>
          <w:rFonts w:ascii="Times New Roman" w:hAnsi="Times New Roman"/>
          <w:sz w:val="20"/>
          <w:szCs w:val="20"/>
        </w:rPr>
        <w:fldChar w:fldCharType="end"/>
      </w:r>
      <w:r w:rsidRPr="008F15E1">
        <w:rPr>
          <w:rFonts w:ascii="Times New Roman" w:hAnsi="Times New Roman"/>
          <w:sz w:val="20"/>
          <w:szCs w:val="20"/>
        </w:rPr>
        <w:t xml:space="preserve">, </w:t>
      </w:r>
      <w:r w:rsidRPr="008F15E1">
        <w:rPr>
          <w:rFonts w:ascii="Times New Roman" w:hAnsi="Times New Roman"/>
          <w:i/>
          <w:iCs/>
          <w:sz w:val="20"/>
          <w:szCs w:val="20"/>
        </w:rPr>
        <w:t>Considerations on UL Power Control, AMC and CSI in NTN</w:t>
      </w:r>
      <w:r w:rsidRPr="008F15E1">
        <w:rPr>
          <w:rFonts w:ascii="Times New Roman" w:hAnsi="Times New Roman"/>
          <w:sz w:val="20"/>
          <w:szCs w:val="20"/>
        </w:rPr>
        <w:t>, RAN1 #98, August 2019</w:t>
      </w:r>
      <w:bookmarkEnd w:id="25"/>
      <w:r w:rsidRPr="008F15E1">
        <w:rPr>
          <w:rFonts w:ascii="Times New Roman" w:hAnsi="Times New Roman"/>
          <w:sz w:val="20"/>
          <w:szCs w:val="20"/>
        </w:rPr>
        <w:t>.</w:t>
      </w:r>
    </w:p>
    <w:p w14:paraId="36295535" w14:textId="77777777" w:rsidR="00836D38" w:rsidRPr="00923441" w:rsidRDefault="00836D38" w:rsidP="002E696A">
      <w:pPr>
        <w:pStyle w:val="ListParagraph"/>
        <w:rPr>
          <w:i/>
        </w:rPr>
      </w:pPr>
    </w:p>
    <w:p w14:paraId="548B57B4" w14:textId="77777777" w:rsidR="001C4049" w:rsidRPr="001C4049" w:rsidRDefault="001C4049" w:rsidP="001C4049"/>
    <w:sectPr w:rsidR="001C4049" w:rsidRPr="001C4049">
      <w:headerReference w:type="even" r:id="rId49"/>
      <w:headerReference w:type="default" r:id="rId50"/>
      <w:footerReference w:type="even" r:id="rId51"/>
      <w:footerReference w:type="default" r:id="rId52"/>
      <w:headerReference w:type="first" r:id="rId53"/>
      <w:footerReference w:type="first" r:id="rId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83A2D" w14:textId="77777777" w:rsidR="00B65DF4" w:rsidRDefault="00B65DF4">
      <w:r>
        <w:separator/>
      </w:r>
    </w:p>
  </w:endnote>
  <w:endnote w:type="continuationSeparator" w:id="0">
    <w:p w14:paraId="2594A71C" w14:textId="77777777" w:rsidR="00B65DF4" w:rsidRDefault="00B65DF4">
      <w:r>
        <w:continuationSeparator/>
      </w:r>
    </w:p>
  </w:endnote>
  <w:endnote w:type="continuationNotice" w:id="1">
    <w:p w14:paraId="4CAABD94" w14:textId="77777777" w:rsidR="00B65DF4" w:rsidRDefault="00B65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631FB1" w:rsidRDefault="00631F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631FB1" w:rsidRDefault="00631F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631FB1" w:rsidRDefault="00631F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F75CB" w14:textId="77777777" w:rsidR="00B65DF4" w:rsidRDefault="00B65DF4">
      <w:r>
        <w:separator/>
      </w:r>
    </w:p>
  </w:footnote>
  <w:footnote w:type="continuationSeparator" w:id="0">
    <w:p w14:paraId="03A25E53" w14:textId="77777777" w:rsidR="00B65DF4" w:rsidRDefault="00B65DF4">
      <w:r>
        <w:continuationSeparator/>
      </w:r>
    </w:p>
  </w:footnote>
  <w:footnote w:type="continuationNotice" w:id="1">
    <w:p w14:paraId="080D31AD" w14:textId="77777777" w:rsidR="00B65DF4" w:rsidRDefault="00B65D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631FB1" w:rsidRDefault="00631F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631FB1" w:rsidRDefault="00631F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631FB1" w:rsidRDefault="00631F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2"/>
  </w:num>
  <w:num w:numId="7">
    <w:abstractNumId w:val="13"/>
  </w:num>
  <w:num w:numId="8">
    <w:abstractNumId w:val="3"/>
  </w:num>
  <w:num w:numId="9">
    <w:abstractNumId w:val="5"/>
  </w:num>
  <w:num w:numId="10">
    <w:abstractNumId w:val="15"/>
  </w:num>
  <w:num w:numId="11">
    <w:abstractNumId w:val="4"/>
  </w:num>
  <w:num w:numId="12">
    <w:abstractNumId w:val="17"/>
  </w:num>
  <w:num w:numId="13">
    <w:abstractNumId w:val="16"/>
  </w:num>
  <w:num w:numId="14">
    <w:abstractNumId w:val="18"/>
  </w:num>
  <w:num w:numId="15">
    <w:abstractNumId w:val="2"/>
  </w:num>
  <w:num w:numId="16">
    <w:abstractNumId w:val="7"/>
  </w:num>
  <w:num w:numId="17">
    <w:abstractNumId w:val="11"/>
  </w:num>
  <w:num w:numId="18">
    <w:abstractNumId w:val="6"/>
  </w:num>
  <w:num w:numId="19">
    <w:abstractNumId w:val="14"/>
  </w:num>
  <w:num w:numId="20">
    <w:abstractNumId w:val="1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174B5"/>
    <w:rsid w:val="00022E29"/>
    <w:rsid w:val="00023C40"/>
    <w:rsid w:val="000267BC"/>
    <w:rsid w:val="000268DA"/>
    <w:rsid w:val="00030DB5"/>
    <w:rsid w:val="0003309F"/>
    <w:rsid w:val="00033397"/>
    <w:rsid w:val="000348AC"/>
    <w:rsid w:val="00040095"/>
    <w:rsid w:val="000404D0"/>
    <w:rsid w:val="0004113F"/>
    <w:rsid w:val="00056D3E"/>
    <w:rsid w:val="000707F8"/>
    <w:rsid w:val="000708AF"/>
    <w:rsid w:val="00073330"/>
    <w:rsid w:val="00073C9C"/>
    <w:rsid w:val="00077172"/>
    <w:rsid w:val="00080512"/>
    <w:rsid w:val="000875F6"/>
    <w:rsid w:val="00090468"/>
    <w:rsid w:val="00094568"/>
    <w:rsid w:val="000953BE"/>
    <w:rsid w:val="000969DE"/>
    <w:rsid w:val="000A1580"/>
    <w:rsid w:val="000A39F0"/>
    <w:rsid w:val="000B04D4"/>
    <w:rsid w:val="000B274C"/>
    <w:rsid w:val="000B51D6"/>
    <w:rsid w:val="000B5475"/>
    <w:rsid w:val="000B562B"/>
    <w:rsid w:val="000B7BCF"/>
    <w:rsid w:val="000B7DC3"/>
    <w:rsid w:val="000B7EEE"/>
    <w:rsid w:val="000C0316"/>
    <w:rsid w:val="000C2E0D"/>
    <w:rsid w:val="000C522B"/>
    <w:rsid w:val="000D085B"/>
    <w:rsid w:val="000D58AB"/>
    <w:rsid w:val="000E351F"/>
    <w:rsid w:val="000E4120"/>
    <w:rsid w:val="000E5A69"/>
    <w:rsid w:val="000F034D"/>
    <w:rsid w:val="000F27DA"/>
    <w:rsid w:val="000F2CA0"/>
    <w:rsid w:val="000F5DA0"/>
    <w:rsid w:val="001070F5"/>
    <w:rsid w:val="00112F1A"/>
    <w:rsid w:val="0011325D"/>
    <w:rsid w:val="00115CE1"/>
    <w:rsid w:val="001213F4"/>
    <w:rsid w:val="00122115"/>
    <w:rsid w:val="001344BC"/>
    <w:rsid w:val="0014251D"/>
    <w:rsid w:val="00142BCD"/>
    <w:rsid w:val="00145075"/>
    <w:rsid w:val="001675AD"/>
    <w:rsid w:val="00172657"/>
    <w:rsid w:val="001741A0"/>
    <w:rsid w:val="0017447B"/>
    <w:rsid w:val="00175FA0"/>
    <w:rsid w:val="00181595"/>
    <w:rsid w:val="00194CD0"/>
    <w:rsid w:val="001A7704"/>
    <w:rsid w:val="001B49C9"/>
    <w:rsid w:val="001B6C6B"/>
    <w:rsid w:val="001C0F02"/>
    <w:rsid w:val="001C23F4"/>
    <w:rsid w:val="001C3DC6"/>
    <w:rsid w:val="001C4049"/>
    <w:rsid w:val="001C4F79"/>
    <w:rsid w:val="001D0C32"/>
    <w:rsid w:val="001D5980"/>
    <w:rsid w:val="001D5F9E"/>
    <w:rsid w:val="001D7F75"/>
    <w:rsid w:val="001E1F4E"/>
    <w:rsid w:val="001E3554"/>
    <w:rsid w:val="001E748D"/>
    <w:rsid w:val="001F168B"/>
    <w:rsid w:val="001F7831"/>
    <w:rsid w:val="00202629"/>
    <w:rsid w:val="00204045"/>
    <w:rsid w:val="0020712B"/>
    <w:rsid w:val="00213394"/>
    <w:rsid w:val="00217D4C"/>
    <w:rsid w:val="00221BE3"/>
    <w:rsid w:val="00225F17"/>
    <w:rsid w:val="0022606D"/>
    <w:rsid w:val="00231728"/>
    <w:rsid w:val="00233057"/>
    <w:rsid w:val="00241400"/>
    <w:rsid w:val="002415F7"/>
    <w:rsid w:val="002501B5"/>
    <w:rsid w:val="00250404"/>
    <w:rsid w:val="00251822"/>
    <w:rsid w:val="00253135"/>
    <w:rsid w:val="00253845"/>
    <w:rsid w:val="002563E4"/>
    <w:rsid w:val="002610D8"/>
    <w:rsid w:val="002613CB"/>
    <w:rsid w:val="00261AE5"/>
    <w:rsid w:val="00261F03"/>
    <w:rsid w:val="00262813"/>
    <w:rsid w:val="00267789"/>
    <w:rsid w:val="002747EC"/>
    <w:rsid w:val="00283D55"/>
    <w:rsid w:val="002855BF"/>
    <w:rsid w:val="00296CBB"/>
    <w:rsid w:val="002A0169"/>
    <w:rsid w:val="002A2640"/>
    <w:rsid w:val="002A6D2C"/>
    <w:rsid w:val="002B43B7"/>
    <w:rsid w:val="002C2EB5"/>
    <w:rsid w:val="002C34AC"/>
    <w:rsid w:val="002C43E6"/>
    <w:rsid w:val="002C6B00"/>
    <w:rsid w:val="002D6DB3"/>
    <w:rsid w:val="002E1C3B"/>
    <w:rsid w:val="002E5CFE"/>
    <w:rsid w:val="002E696A"/>
    <w:rsid w:val="002E7D42"/>
    <w:rsid w:val="002F0D22"/>
    <w:rsid w:val="00302783"/>
    <w:rsid w:val="00303151"/>
    <w:rsid w:val="00304342"/>
    <w:rsid w:val="0030550A"/>
    <w:rsid w:val="00311B17"/>
    <w:rsid w:val="00312462"/>
    <w:rsid w:val="003172DC"/>
    <w:rsid w:val="00325AE3"/>
    <w:rsid w:val="00326069"/>
    <w:rsid w:val="00326974"/>
    <w:rsid w:val="00326ABD"/>
    <w:rsid w:val="00331BD9"/>
    <w:rsid w:val="0033260E"/>
    <w:rsid w:val="00340979"/>
    <w:rsid w:val="0034172F"/>
    <w:rsid w:val="003465E8"/>
    <w:rsid w:val="0035462D"/>
    <w:rsid w:val="0035527F"/>
    <w:rsid w:val="0035664E"/>
    <w:rsid w:val="0036459E"/>
    <w:rsid w:val="00364B41"/>
    <w:rsid w:val="00370D25"/>
    <w:rsid w:val="00373E0C"/>
    <w:rsid w:val="00383096"/>
    <w:rsid w:val="003838B0"/>
    <w:rsid w:val="00385D7C"/>
    <w:rsid w:val="00391C50"/>
    <w:rsid w:val="003926C2"/>
    <w:rsid w:val="0039346C"/>
    <w:rsid w:val="00394811"/>
    <w:rsid w:val="00395CC7"/>
    <w:rsid w:val="003A41EF"/>
    <w:rsid w:val="003B2771"/>
    <w:rsid w:val="003B40AD"/>
    <w:rsid w:val="003B48AB"/>
    <w:rsid w:val="003C285D"/>
    <w:rsid w:val="003C364A"/>
    <w:rsid w:val="003C4E37"/>
    <w:rsid w:val="003D056B"/>
    <w:rsid w:val="003D0D12"/>
    <w:rsid w:val="003D55F4"/>
    <w:rsid w:val="003E16BE"/>
    <w:rsid w:val="003E646B"/>
    <w:rsid w:val="003F0DF6"/>
    <w:rsid w:val="003F19B5"/>
    <w:rsid w:val="003F25DF"/>
    <w:rsid w:val="003F4E28"/>
    <w:rsid w:val="003F5F30"/>
    <w:rsid w:val="004006E8"/>
    <w:rsid w:val="00401855"/>
    <w:rsid w:val="0041046F"/>
    <w:rsid w:val="00411A8B"/>
    <w:rsid w:val="00417935"/>
    <w:rsid w:val="00420DB4"/>
    <w:rsid w:val="00427899"/>
    <w:rsid w:val="00430483"/>
    <w:rsid w:val="0043171B"/>
    <w:rsid w:val="00434202"/>
    <w:rsid w:val="00435E42"/>
    <w:rsid w:val="00441DF5"/>
    <w:rsid w:val="00442891"/>
    <w:rsid w:val="00446025"/>
    <w:rsid w:val="0045605A"/>
    <w:rsid w:val="00456ADF"/>
    <w:rsid w:val="00465587"/>
    <w:rsid w:val="00477455"/>
    <w:rsid w:val="00486E00"/>
    <w:rsid w:val="004908C0"/>
    <w:rsid w:val="004A1F7B"/>
    <w:rsid w:val="004A4890"/>
    <w:rsid w:val="004A6891"/>
    <w:rsid w:val="004B4030"/>
    <w:rsid w:val="004C0A97"/>
    <w:rsid w:val="004C1D51"/>
    <w:rsid w:val="004C2FC0"/>
    <w:rsid w:val="004C3BC5"/>
    <w:rsid w:val="004C44D2"/>
    <w:rsid w:val="004D3578"/>
    <w:rsid w:val="004D380D"/>
    <w:rsid w:val="004E213A"/>
    <w:rsid w:val="004E354C"/>
    <w:rsid w:val="004F0D9F"/>
    <w:rsid w:val="004F5AF4"/>
    <w:rsid w:val="00503171"/>
    <w:rsid w:val="00506C28"/>
    <w:rsid w:val="00512F78"/>
    <w:rsid w:val="005153B6"/>
    <w:rsid w:val="0052083A"/>
    <w:rsid w:val="005220AC"/>
    <w:rsid w:val="0052679E"/>
    <w:rsid w:val="00534DA0"/>
    <w:rsid w:val="00541E55"/>
    <w:rsid w:val="0054338F"/>
    <w:rsid w:val="00543E6C"/>
    <w:rsid w:val="00552253"/>
    <w:rsid w:val="005644F0"/>
    <w:rsid w:val="00565087"/>
    <w:rsid w:val="0056573F"/>
    <w:rsid w:val="00566E28"/>
    <w:rsid w:val="00575324"/>
    <w:rsid w:val="00581D26"/>
    <w:rsid w:val="00585878"/>
    <w:rsid w:val="00591B10"/>
    <w:rsid w:val="005939CF"/>
    <w:rsid w:val="005A1304"/>
    <w:rsid w:val="005A49C6"/>
    <w:rsid w:val="005B4B3F"/>
    <w:rsid w:val="005B754F"/>
    <w:rsid w:val="005C778B"/>
    <w:rsid w:val="005D2C72"/>
    <w:rsid w:val="005E7849"/>
    <w:rsid w:val="005F1668"/>
    <w:rsid w:val="005F2D71"/>
    <w:rsid w:val="005F456B"/>
    <w:rsid w:val="005F63D0"/>
    <w:rsid w:val="005F70C7"/>
    <w:rsid w:val="00601AFE"/>
    <w:rsid w:val="00605396"/>
    <w:rsid w:val="00605B9D"/>
    <w:rsid w:val="006067B8"/>
    <w:rsid w:val="00607400"/>
    <w:rsid w:val="00611566"/>
    <w:rsid w:val="0061378F"/>
    <w:rsid w:val="0061717E"/>
    <w:rsid w:val="00620121"/>
    <w:rsid w:val="0062578C"/>
    <w:rsid w:val="00631FB1"/>
    <w:rsid w:val="00633572"/>
    <w:rsid w:val="00646D99"/>
    <w:rsid w:val="00646E30"/>
    <w:rsid w:val="00647146"/>
    <w:rsid w:val="00650DD7"/>
    <w:rsid w:val="00656910"/>
    <w:rsid w:val="006574C0"/>
    <w:rsid w:val="006649E8"/>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723"/>
    <w:rsid w:val="006B08C6"/>
    <w:rsid w:val="006B0C9A"/>
    <w:rsid w:val="006B3180"/>
    <w:rsid w:val="006B4D89"/>
    <w:rsid w:val="006C2579"/>
    <w:rsid w:val="006C2F97"/>
    <w:rsid w:val="006C64E6"/>
    <w:rsid w:val="006C66D8"/>
    <w:rsid w:val="006C6712"/>
    <w:rsid w:val="006C695E"/>
    <w:rsid w:val="006D0258"/>
    <w:rsid w:val="006D1E24"/>
    <w:rsid w:val="006D2290"/>
    <w:rsid w:val="006D4A84"/>
    <w:rsid w:val="006E1417"/>
    <w:rsid w:val="006E35A0"/>
    <w:rsid w:val="006F64F9"/>
    <w:rsid w:val="006F6A2C"/>
    <w:rsid w:val="00702492"/>
    <w:rsid w:val="007069DC"/>
    <w:rsid w:val="00710201"/>
    <w:rsid w:val="007107ED"/>
    <w:rsid w:val="00715B21"/>
    <w:rsid w:val="0071658D"/>
    <w:rsid w:val="0071731C"/>
    <w:rsid w:val="007177C0"/>
    <w:rsid w:val="0072073A"/>
    <w:rsid w:val="00722BFD"/>
    <w:rsid w:val="00724472"/>
    <w:rsid w:val="00725D1A"/>
    <w:rsid w:val="00727C5E"/>
    <w:rsid w:val="00730073"/>
    <w:rsid w:val="00732294"/>
    <w:rsid w:val="00732D44"/>
    <w:rsid w:val="007342B5"/>
    <w:rsid w:val="007348A9"/>
    <w:rsid w:val="00734A5B"/>
    <w:rsid w:val="0074330B"/>
    <w:rsid w:val="00744E76"/>
    <w:rsid w:val="007469A1"/>
    <w:rsid w:val="00750810"/>
    <w:rsid w:val="00753B8B"/>
    <w:rsid w:val="00755F2A"/>
    <w:rsid w:val="00756543"/>
    <w:rsid w:val="00757D40"/>
    <w:rsid w:val="007620D8"/>
    <w:rsid w:val="0076292A"/>
    <w:rsid w:val="00765A8C"/>
    <w:rsid w:val="007662B5"/>
    <w:rsid w:val="00771407"/>
    <w:rsid w:val="0077146C"/>
    <w:rsid w:val="00781F0F"/>
    <w:rsid w:val="00783C0C"/>
    <w:rsid w:val="0078727C"/>
    <w:rsid w:val="007900FD"/>
    <w:rsid w:val="0079021D"/>
    <w:rsid w:val="0079049D"/>
    <w:rsid w:val="00792542"/>
    <w:rsid w:val="00792C10"/>
    <w:rsid w:val="00793DC5"/>
    <w:rsid w:val="00793E30"/>
    <w:rsid w:val="007A1A72"/>
    <w:rsid w:val="007B18D8"/>
    <w:rsid w:val="007B55BE"/>
    <w:rsid w:val="007C095F"/>
    <w:rsid w:val="007C2DD0"/>
    <w:rsid w:val="007D30A6"/>
    <w:rsid w:val="007D76DC"/>
    <w:rsid w:val="007E4EF8"/>
    <w:rsid w:val="007E78F6"/>
    <w:rsid w:val="007F2E08"/>
    <w:rsid w:val="0080188A"/>
    <w:rsid w:val="008028A4"/>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6D38"/>
    <w:rsid w:val="0083789B"/>
    <w:rsid w:val="00840DE0"/>
    <w:rsid w:val="00842EA3"/>
    <w:rsid w:val="00846011"/>
    <w:rsid w:val="008529FC"/>
    <w:rsid w:val="00855431"/>
    <w:rsid w:val="00857F83"/>
    <w:rsid w:val="008603EC"/>
    <w:rsid w:val="00862A88"/>
    <w:rsid w:val="0086354A"/>
    <w:rsid w:val="008657FC"/>
    <w:rsid w:val="00870223"/>
    <w:rsid w:val="00870A22"/>
    <w:rsid w:val="008768CA"/>
    <w:rsid w:val="00877EF9"/>
    <w:rsid w:val="00880559"/>
    <w:rsid w:val="00883B4C"/>
    <w:rsid w:val="008A04B6"/>
    <w:rsid w:val="008A1867"/>
    <w:rsid w:val="008A1CC5"/>
    <w:rsid w:val="008A5E64"/>
    <w:rsid w:val="008A70E9"/>
    <w:rsid w:val="008B141A"/>
    <w:rsid w:val="008B1981"/>
    <w:rsid w:val="008B4A03"/>
    <w:rsid w:val="008B5306"/>
    <w:rsid w:val="008C2E2A"/>
    <w:rsid w:val="008C3057"/>
    <w:rsid w:val="008C6359"/>
    <w:rsid w:val="008C7B12"/>
    <w:rsid w:val="008D058B"/>
    <w:rsid w:val="008D2E4D"/>
    <w:rsid w:val="008D3496"/>
    <w:rsid w:val="008D3AC3"/>
    <w:rsid w:val="008E3193"/>
    <w:rsid w:val="008F15E1"/>
    <w:rsid w:val="008F396F"/>
    <w:rsid w:val="008F3DCD"/>
    <w:rsid w:val="008F7C1D"/>
    <w:rsid w:val="009022F7"/>
    <w:rsid w:val="0090271F"/>
    <w:rsid w:val="00902B60"/>
    <w:rsid w:val="00902DB9"/>
    <w:rsid w:val="0090466A"/>
    <w:rsid w:val="009152FC"/>
    <w:rsid w:val="00917544"/>
    <w:rsid w:val="00923441"/>
    <w:rsid w:val="00923655"/>
    <w:rsid w:val="009255C7"/>
    <w:rsid w:val="00930FB8"/>
    <w:rsid w:val="00931E8F"/>
    <w:rsid w:val="00931F92"/>
    <w:rsid w:val="00936071"/>
    <w:rsid w:val="009376CD"/>
    <w:rsid w:val="00940212"/>
    <w:rsid w:val="0094110A"/>
    <w:rsid w:val="00941595"/>
    <w:rsid w:val="00942E07"/>
    <w:rsid w:val="00942EC2"/>
    <w:rsid w:val="00943E70"/>
    <w:rsid w:val="00961B32"/>
    <w:rsid w:val="00961CB1"/>
    <w:rsid w:val="00962509"/>
    <w:rsid w:val="00966222"/>
    <w:rsid w:val="00970DB3"/>
    <w:rsid w:val="00974BB0"/>
    <w:rsid w:val="00975BCD"/>
    <w:rsid w:val="0098629A"/>
    <w:rsid w:val="009928A9"/>
    <w:rsid w:val="00993A71"/>
    <w:rsid w:val="00994CC6"/>
    <w:rsid w:val="009A086E"/>
    <w:rsid w:val="009A0AF3"/>
    <w:rsid w:val="009A1879"/>
    <w:rsid w:val="009B07CD"/>
    <w:rsid w:val="009B0C01"/>
    <w:rsid w:val="009B2C1D"/>
    <w:rsid w:val="009C19E9"/>
    <w:rsid w:val="009C34B5"/>
    <w:rsid w:val="009C621E"/>
    <w:rsid w:val="009C662E"/>
    <w:rsid w:val="009D36E1"/>
    <w:rsid w:val="009D74A6"/>
    <w:rsid w:val="009E0E87"/>
    <w:rsid w:val="009E5C49"/>
    <w:rsid w:val="009E6C36"/>
    <w:rsid w:val="009F4A3C"/>
    <w:rsid w:val="009F5016"/>
    <w:rsid w:val="009F6706"/>
    <w:rsid w:val="00A03C91"/>
    <w:rsid w:val="00A04A37"/>
    <w:rsid w:val="00A10F02"/>
    <w:rsid w:val="00A11526"/>
    <w:rsid w:val="00A12BC6"/>
    <w:rsid w:val="00A13940"/>
    <w:rsid w:val="00A1702C"/>
    <w:rsid w:val="00A204CA"/>
    <w:rsid w:val="00A209D6"/>
    <w:rsid w:val="00A307D2"/>
    <w:rsid w:val="00A3201A"/>
    <w:rsid w:val="00A37F40"/>
    <w:rsid w:val="00A472E7"/>
    <w:rsid w:val="00A479D9"/>
    <w:rsid w:val="00A528DD"/>
    <w:rsid w:val="00A5294D"/>
    <w:rsid w:val="00A52BE0"/>
    <w:rsid w:val="00A53100"/>
    <w:rsid w:val="00A53724"/>
    <w:rsid w:val="00A54B2B"/>
    <w:rsid w:val="00A56B05"/>
    <w:rsid w:val="00A6015C"/>
    <w:rsid w:val="00A61979"/>
    <w:rsid w:val="00A74DAC"/>
    <w:rsid w:val="00A76C34"/>
    <w:rsid w:val="00A82346"/>
    <w:rsid w:val="00A853FA"/>
    <w:rsid w:val="00A8665F"/>
    <w:rsid w:val="00A92852"/>
    <w:rsid w:val="00A94BC1"/>
    <w:rsid w:val="00A95B25"/>
    <w:rsid w:val="00A9671C"/>
    <w:rsid w:val="00A96737"/>
    <w:rsid w:val="00AA1553"/>
    <w:rsid w:val="00AA25C1"/>
    <w:rsid w:val="00AB3622"/>
    <w:rsid w:val="00AB7FEB"/>
    <w:rsid w:val="00AD655D"/>
    <w:rsid w:val="00AF4156"/>
    <w:rsid w:val="00AF6F55"/>
    <w:rsid w:val="00B00FA3"/>
    <w:rsid w:val="00B016B5"/>
    <w:rsid w:val="00B05380"/>
    <w:rsid w:val="00B05962"/>
    <w:rsid w:val="00B06A93"/>
    <w:rsid w:val="00B11BA9"/>
    <w:rsid w:val="00B1271F"/>
    <w:rsid w:val="00B15449"/>
    <w:rsid w:val="00B15CCF"/>
    <w:rsid w:val="00B16C2F"/>
    <w:rsid w:val="00B16D8B"/>
    <w:rsid w:val="00B17C88"/>
    <w:rsid w:val="00B24A39"/>
    <w:rsid w:val="00B27303"/>
    <w:rsid w:val="00B3077B"/>
    <w:rsid w:val="00B34167"/>
    <w:rsid w:val="00B415F0"/>
    <w:rsid w:val="00B47FD1"/>
    <w:rsid w:val="00B516BB"/>
    <w:rsid w:val="00B52904"/>
    <w:rsid w:val="00B52949"/>
    <w:rsid w:val="00B546B8"/>
    <w:rsid w:val="00B54A0E"/>
    <w:rsid w:val="00B64EB0"/>
    <w:rsid w:val="00B65DF4"/>
    <w:rsid w:val="00B7012E"/>
    <w:rsid w:val="00B7347E"/>
    <w:rsid w:val="00B83027"/>
    <w:rsid w:val="00B84DB2"/>
    <w:rsid w:val="00B84E2A"/>
    <w:rsid w:val="00B914C0"/>
    <w:rsid w:val="00B93D0B"/>
    <w:rsid w:val="00BA058A"/>
    <w:rsid w:val="00BB3867"/>
    <w:rsid w:val="00BC3555"/>
    <w:rsid w:val="00BC5632"/>
    <w:rsid w:val="00BD5972"/>
    <w:rsid w:val="00BE55DF"/>
    <w:rsid w:val="00BE66C1"/>
    <w:rsid w:val="00BE761C"/>
    <w:rsid w:val="00C012CE"/>
    <w:rsid w:val="00C04FF3"/>
    <w:rsid w:val="00C0567A"/>
    <w:rsid w:val="00C12818"/>
    <w:rsid w:val="00C12B51"/>
    <w:rsid w:val="00C219B3"/>
    <w:rsid w:val="00C24650"/>
    <w:rsid w:val="00C25465"/>
    <w:rsid w:val="00C30E2F"/>
    <w:rsid w:val="00C33079"/>
    <w:rsid w:val="00C44D05"/>
    <w:rsid w:val="00C50397"/>
    <w:rsid w:val="00C54B57"/>
    <w:rsid w:val="00C5545F"/>
    <w:rsid w:val="00C613D8"/>
    <w:rsid w:val="00C65340"/>
    <w:rsid w:val="00C756AA"/>
    <w:rsid w:val="00C76B1D"/>
    <w:rsid w:val="00C77470"/>
    <w:rsid w:val="00C83A13"/>
    <w:rsid w:val="00C85718"/>
    <w:rsid w:val="00C858F7"/>
    <w:rsid w:val="00C87384"/>
    <w:rsid w:val="00C9068C"/>
    <w:rsid w:val="00C90FBF"/>
    <w:rsid w:val="00C91520"/>
    <w:rsid w:val="00C92967"/>
    <w:rsid w:val="00C95FB4"/>
    <w:rsid w:val="00CA051B"/>
    <w:rsid w:val="00CA3D0C"/>
    <w:rsid w:val="00CA3FDA"/>
    <w:rsid w:val="00CA654B"/>
    <w:rsid w:val="00CB0A1A"/>
    <w:rsid w:val="00CB2AFF"/>
    <w:rsid w:val="00CB72B8"/>
    <w:rsid w:val="00CC2D21"/>
    <w:rsid w:val="00CC35A7"/>
    <w:rsid w:val="00CC6B0D"/>
    <w:rsid w:val="00CD0E69"/>
    <w:rsid w:val="00CD4C7B"/>
    <w:rsid w:val="00CD58FE"/>
    <w:rsid w:val="00CD60F8"/>
    <w:rsid w:val="00CE0516"/>
    <w:rsid w:val="00CE08EC"/>
    <w:rsid w:val="00CE292F"/>
    <w:rsid w:val="00CE548D"/>
    <w:rsid w:val="00CE6581"/>
    <w:rsid w:val="00CF2233"/>
    <w:rsid w:val="00CF2BC3"/>
    <w:rsid w:val="00CF2E57"/>
    <w:rsid w:val="00D01FD3"/>
    <w:rsid w:val="00D021AE"/>
    <w:rsid w:val="00D0335D"/>
    <w:rsid w:val="00D034D5"/>
    <w:rsid w:val="00D03687"/>
    <w:rsid w:val="00D1002A"/>
    <w:rsid w:val="00D1006A"/>
    <w:rsid w:val="00D22446"/>
    <w:rsid w:val="00D25736"/>
    <w:rsid w:val="00D320C7"/>
    <w:rsid w:val="00D33BE3"/>
    <w:rsid w:val="00D3792D"/>
    <w:rsid w:val="00D40748"/>
    <w:rsid w:val="00D40FDB"/>
    <w:rsid w:val="00D42708"/>
    <w:rsid w:val="00D46CDE"/>
    <w:rsid w:val="00D55E47"/>
    <w:rsid w:val="00D60A17"/>
    <w:rsid w:val="00D62080"/>
    <w:rsid w:val="00D62E19"/>
    <w:rsid w:val="00D67CD1"/>
    <w:rsid w:val="00D738D6"/>
    <w:rsid w:val="00D74B03"/>
    <w:rsid w:val="00D76BAE"/>
    <w:rsid w:val="00D77D55"/>
    <w:rsid w:val="00D80795"/>
    <w:rsid w:val="00D81AB4"/>
    <w:rsid w:val="00D854BE"/>
    <w:rsid w:val="00D87E00"/>
    <w:rsid w:val="00D87F08"/>
    <w:rsid w:val="00D9134D"/>
    <w:rsid w:val="00D96D11"/>
    <w:rsid w:val="00DA1667"/>
    <w:rsid w:val="00DA260D"/>
    <w:rsid w:val="00DA7A03"/>
    <w:rsid w:val="00DB0DB8"/>
    <w:rsid w:val="00DB1818"/>
    <w:rsid w:val="00DC309B"/>
    <w:rsid w:val="00DC4DA2"/>
    <w:rsid w:val="00DC5261"/>
    <w:rsid w:val="00DD10B1"/>
    <w:rsid w:val="00DE25D2"/>
    <w:rsid w:val="00DE4C4A"/>
    <w:rsid w:val="00DF58B4"/>
    <w:rsid w:val="00E2202C"/>
    <w:rsid w:val="00E222B0"/>
    <w:rsid w:val="00E24E95"/>
    <w:rsid w:val="00E250D7"/>
    <w:rsid w:val="00E2540F"/>
    <w:rsid w:val="00E2781E"/>
    <w:rsid w:val="00E36D74"/>
    <w:rsid w:val="00E41B62"/>
    <w:rsid w:val="00E441AF"/>
    <w:rsid w:val="00E46B3C"/>
    <w:rsid w:val="00E46C08"/>
    <w:rsid w:val="00E46C9F"/>
    <w:rsid w:val="00E471CF"/>
    <w:rsid w:val="00E53607"/>
    <w:rsid w:val="00E548A1"/>
    <w:rsid w:val="00E62835"/>
    <w:rsid w:val="00E658E6"/>
    <w:rsid w:val="00E6612C"/>
    <w:rsid w:val="00E72778"/>
    <w:rsid w:val="00E74820"/>
    <w:rsid w:val="00E77645"/>
    <w:rsid w:val="00E833E3"/>
    <w:rsid w:val="00E83697"/>
    <w:rsid w:val="00E85E5F"/>
    <w:rsid w:val="00E902BF"/>
    <w:rsid w:val="00E90E3A"/>
    <w:rsid w:val="00E922CC"/>
    <w:rsid w:val="00EA156F"/>
    <w:rsid w:val="00EA4AF9"/>
    <w:rsid w:val="00EA66C9"/>
    <w:rsid w:val="00EC4A25"/>
    <w:rsid w:val="00EC4F39"/>
    <w:rsid w:val="00EC7B2F"/>
    <w:rsid w:val="00ED33D1"/>
    <w:rsid w:val="00ED7586"/>
    <w:rsid w:val="00EE0FA1"/>
    <w:rsid w:val="00EE67B0"/>
    <w:rsid w:val="00EF57B1"/>
    <w:rsid w:val="00EF7121"/>
    <w:rsid w:val="00F025A2"/>
    <w:rsid w:val="00F036E9"/>
    <w:rsid w:val="00F05BFB"/>
    <w:rsid w:val="00F0659D"/>
    <w:rsid w:val="00F07388"/>
    <w:rsid w:val="00F2026E"/>
    <w:rsid w:val="00F2210A"/>
    <w:rsid w:val="00F2369E"/>
    <w:rsid w:val="00F24C73"/>
    <w:rsid w:val="00F33025"/>
    <w:rsid w:val="00F36A40"/>
    <w:rsid w:val="00F3748D"/>
    <w:rsid w:val="00F37743"/>
    <w:rsid w:val="00F37B3A"/>
    <w:rsid w:val="00F432CB"/>
    <w:rsid w:val="00F54A3D"/>
    <w:rsid w:val="00F54CB0"/>
    <w:rsid w:val="00F579CD"/>
    <w:rsid w:val="00F60359"/>
    <w:rsid w:val="00F653B8"/>
    <w:rsid w:val="00F70834"/>
    <w:rsid w:val="00F70A70"/>
    <w:rsid w:val="00F71B89"/>
    <w:rsid w:val="00F7318A"/>
    <w:rsid w:val="00F7353C"/>
    <w:rsid w:val="00F74567"/>
    <w:rsid w:val="00F76CF1"/>
    <w:rsid w:val="00F76E46"/>
    <w:rsid w:val="00F76F8F"/>
    <w:rsid w:val="00F80689"/>
    <w:rsid w:val="00F844E0"/>
    <w:rsid w:val="00F85482"/>
    <w:rsid w:val="00F941DF"/>
    <w:rsid w:val="00FA1266"/>
    <w:rsid w:val="00FA5B7B"/>
    <w:rsid w:val="00FB340E"/>
    <w:rsid w:val="00FB36FA"/>
    <w:rsid w:val="00FC0572"/>
    <w:rsid w:val="00FC1192"/>
    <w:rsid w:val="00FC4BDE"/>
    <w:rsid w:val="00FC7EF9"/>
    <w:rsid w:val="00FD4988"/>
    <w:rsid w:val="00FE251B"/>
    <w:rsid w:val="00FF78AB"/>
    <w:rsid w:val="2BB3E45C"/>
    <w:rsid w:val="2EB6AB32"/>
    <w:rsid w:val="3B68E559"/>
    <w:rsid w:val="6E8F67DB"/>
    <w:rsid w:val="7AF333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86A71C43-EF3F-4DC4-9111-C1C212B87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ngppapp/CreateTdoc.aspx?mode=view&amp;contributionId=1133721" TargetMode="External"/><Relationship Id="rId18" Type="http://schemas.openxmlformats.org/officeDocument/2006/relationships/hyperlink" Target="http://www.3gpp.org/ftp/Specs/archive/38_series/38.811/38811-f30.zip" TargetMode="External"/><Relationship Id="rId26" Type="http://schemas.openxmlformats.org/officeDocument/2006/relationships/hyperlink" Target="http://www.3gpp.org/ftp/Specs/archive/38_series/38.811/38811-f30.zip" TargetMode="External"/><Relationship Id="rId39" Type="http://schemas.openxmlformats.org/officeDocument/2006/relationships/hyperlink" Target="https://portal.3gpp.org/ngppapp/CreateTdoc.aspx?mode=view&amp;contributionId=1133721" TargetMode="External"/><Relationship Id="rId21" Type="http://schemas.openxmlformats.org/officeDocument/2006/relationships/image" Target="media/image1.png"/><Relationship Id="rId34" Type="http://schemas.openxmlformats.org/officeDocument/2006/relationships/hyperlink" Target="http://www.3gpp.org/ftp/Specs/archive/38_series/38.811/38811-f30.zip" TargetMode="External"/><Relationship Id="rId42" Type="http://schemas.openxmlformats.org/officeDocument/2006/relationships/image" Target="media/image6.png"/><Relationship Id="rId47" Type="http://schemas.openxmlformats.org/officeDocument/2006/relationships/hyperlink" Target="http://www.3gpp.org/ftp/Specs/archive/38_series/38.821/38821-g00.zip"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Specs/archive/38_series/38.821/38821-g00.zip" TargetMode="External"/><Relationship Id="rId25" Type="http://schemas.openxmlformats.org/officeDocument/2006/relationships/hyperlink" Target="http://www.3gpp.org/ftp/Specs/archive/38_series/38.811/38811-f30.zip" TargetMode="External"/><Relationship Id="rId33" Type="http://schemas.openxmlformats.org/officeDocument/2006/relationships/hyperlink" Target="http://www.3gpp.org/ftp/Specs/archive/38_series/38.811/38811-f30.zip" TargetMode="External"/><Relationship Id="rId38" Type="http://schemas.openxmlformats.org/officeDocument/2006/relationships/image" Target="media/image4.emf"/><Relationship Id="rId46" Type="http://schemas.openxmlformats.org/officeDocument/2006/relationships/hyperlink" Target="https://portal.3gpp.org/ngppapp/CreateTdoc.aspx?mode=view&amp;contributionId=1133721" TargetMode="External"/><Relationship Id="rId2" Type="http://schemas.openxmlformats.org/officeDocument/2006/relationships/customXml" Target="../customXml/item2.xml"/><Relationship Id="rId16" Type="http://schemas.openxmlformats.org/officeDocument/2006/relationships/hyperlink" Target="http://www.3gpp.org/ftp/Specs/archive/38_series/38.811/38811-f30.zip" TargetMode="External"/><Relationship Id="rId20" Type="http://schemas.openxmlformats.org/officeDocument/2006/relationships/hyperlink" Target="http://www.3gpp.org/ftp/Specs/archive/38_series/38.811/38811-f30.zip" TargetMode="External"/><Relationship Id="rId29" Type="http://schemas.openxmlformats.org/officeDocument/2006/relationships/hyperlink" Target="http://www.3gpp.org/ftp/Specs/archive/38_series/38.811/38811-f30.zip" TargetMode="External"/><Relationship Id="rId41" Type="http://schemas.openxmlformats.org/officeDocument/2006/relationships/image" Target="media/image5.png"/><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Specs/archive/38_series/38.811/38811-f30.zip" TargetMode="External"/><Relationship Id="rId32" Type="http://schemas.openxmlformats.org/officeDocument/2006/relationships/hyperlink" Target="http://www.3gpp.org/ftp/Specs/archive/38_series/38.811/38811-f30.zip" TargetMode="External"/><Relationship Id="rId37" Type="http://schemas.openxmlformats.org/officeDocument/2006/relationships/image" Target="media/image3.emf"/><Relationship Id="rId40" Type="http://schemas.openxmlformats.org/officeDocument/2006/relationships/hyperlink" Target="http://www.3gpp.org/ftp/Specs/archive/38_series/38.821/38821-g00.zip" TargetMode="External"/><Relationship Id="rId45" Type="http://schemas.openxmlformats.org/officeDocument/2006/relationships/image" Target="media/image7.png"/><Relationship Id="rId53"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archive/38_series/38.811/38811-f30.zip" TargetMode="External"/><Relationship Id="rId23" Type="http://schemas.openxmlformats.org/officeDocument/2006/relationships/hyperlink" Target="https://www.itu.int/rec/R-REC-P.681-11-201908-I/en" TargetMode="External"/><Relationship Id="rId28" Type="http://schemas.openxmlformats.org/officeDocument/2006/relationships/image" Target="media/image2.png"/><Relationship Id="rId36" Type="http://schemas.openxmlformats.org/officeDocument/2006/relationships/hyperlink" Target="http://www.3gpp.org/ftp/Specs/archive/38_series/38.811/38811-f30.zip" TargetMode="External"/><Relationship Id="rId49"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www.3gpp.org/ftp/TSG_RAN/TSG_RAN/TSGR_88e/Docs/RP-200717.zip" TargetMode="External"/><Relationship Id="rId31" Type="http://schemas.openxmlformats.org/officeDocument/2006/relationships/hyperlink" Target="http://www.3gpp.org/ftp/Specs/archive/38_series/38.811/38811-f30.zip" TargetMode="External"/><Relationship Id="rId44" Type="http://schemas.openxmlformats.org/officeDocument/2006/relationships/hyperlink" Target="http://www.3gpp.org/ftp/Specs/archive/38_series/38.811/38811-f30.zip"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archive/38_series/38.821/38821-g00.zip" TargetMode="External"/><Relationship Id="rId22" Type="http://schemas.openxmlformats.org/officeDocument/2006/relationships/hyperlink" Target="http://www.3gpp.org/ftp/Specs/archive/38_series/38.811/38811-f30.zip" TargetMode="External"/><Relationship Id="rId27" Type="http://schemas.openxmlformats.org/officeDocument/2006/relationships/hyperlink" Target="http://www.3gpp.org/ftp/Specs/archive/38_series/38.811/38811-f30.zip" TargetMode="External"/><Relationship Id="rId30" Type="http://schemas.openxmlformats.org/officeDocument/2006/relationships/hyperlink" Target="http://www.3gpp.org/ftp/Specs/archive/38_series/38.811/38811-f30.zip" TargetMode="External"/><Relationship Id="rId35" Type="http://schemas.openxmlformats.org/officeDocument/2006/relationships/hyperlink" Target="http://www.3gpp.org/ftp/Specs/archive/38_series/38.811/38811-f30.zip" TargetMode="External"/><Relationship Id="rId43" Type="http://schemas.openxmlformats.org/officeDocument/2006/relationships/hyperlink" Target="http://www.3gpp.org/ftp/TSG_RAN/WG1_RL1/TSGR1_98/Docs/R1-1908251.zip" TargetMode="External"/><Relationship Id="rId48" Type="http://schemas.openxmlformats.org/officeDocument/2006/relationships/hyperlink" Target="http://www.3gpp.org/ftp/Specs/archive/38_series/38.811/38811-f30.zip" TargetMode="External"/><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1.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5AIRPNAIUNRU-1517105484-664</_dlc_DocId>
    <_dlc_DocIdUrl xmlns="71c5aaf6-e6ce-465b-b873-5148d2a4c105">
      <Url>https://nokia.sharepoint.com/sites/c5g/projects/asc/_layouts/15/DocIdRedir.aspx?ID=5AIRPNAIUNRU-1517105484-664</Url>
      <Description>5AIRPNAIUNRU-1517105484-664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EB8A41D2C6174DA4697F6ECE85F0B9" ma:contentTypeVersion="11" ma:contentTypeDescription="Create a new document." ma:contentTypeScope="" ma:versionID="336c4d7fbeb0e5a18fa176af39d3b800">
  <xsd:schema xmlns:xsd="http://www.w3.org/2001/XMLSchema" xmlns:xs="http://www.w3.org/2001/XMLSchema" xmlns:p="http://schemas.microsoft.com/office/2006/metadata/properties" xmlns:ns2="71c5aaf6-e6ce-465b-b873-5148d2a4c105" xmlns:ns3="baead214-15b0-4332-8a5d-fe23b5fdbe15" xmlns:ns4="3b34c8f0-1ef5-4d1e-bb66-517ce7fe7356" targetNamespace="http://schemas.microsoft.com/office/2006/metadata/properties" ma:root="true" ma:fieldsID="f8a33e06b9adcf562295ad66e3e54d92" ns2:_="" ns3:_="" ns4:_="">
    <xsd:import namespace="71c5aaf6-e6ce-465b-b873-5148d2a4c105"/>
    <xsd:import namespace="baead214-15b0-4332-8a5d-fe23b5fdbe1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ead214-15b0-4332-8a5d-fe23b5fdbe1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schemas.microsoft.com/office/2006/documentManagement/types"/>
    <ds:schemaRef ds:uri="baead214-15b0-4332-8a5d-fe23b5fdbe15"/>
    <ds:schemaRef ds:uri="http://www.w3.org/XML/1998/namespace"/>
    <ds:schemaRef ds:uri="http://purl.org/dc/dcmitype/"/>
  </ds:schemaRefs>
</ds:datastoreItem>
</file>

<file path=customXml/itemProps5.xml><?xml version="1.0" encoding="utf-8"?>
<ds:datastoreItem xmlns:ds="http://schemas.openxmlformats.org/officeDocument/2006/customXml" ds:itemID="{5029FB2A-0BAA-4E25-AE6F-5645A9A55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aead214-15b0-4332-8a5d-fe23b5fdbe1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73A2AD-69FE-4D8E-8586-83AC0BBE8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933</TotalTime>
  <Pages>8</Pages>
  <Words>3273</Words>
  <Characters>22552</Characters>
  <Application>Microsoft Office Word</Application>
  <DocSecurity>0</DocSecurity>
  <Lines>187</Lines>
  <Paragraphs>51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352</cp:revision>
  <dcterms:created xsi:type="dcterms:W3CDTF">2020-07-09T20:19:00Z</dcterms:created>
  <dcterms:modified xsi:type="dcterms:W3CDTF">2020-10-22T13:56:00Z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0x01010016EB8A41D2C6174DA4697F6ECE85F0B9</vt:lpwstr>
  </property>
  <property fmtid="{D5CDD505-2E9C-101B-9397-08002B2CF9AE}" pid="3" name="_dlc_DocIdItemGuid">
    <vt:lpwstr>af08e61a-d1a6-4724-b768-f2a1da184e26</vt:lpwstr>
  </property>
</Properties>
</file>